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ECDA" w14:textId="77777777" w:rsidR="00555B4D" w:rsidRDefault="00555B4D" w:rsidP="00555B4D"/>
    <w:p w14:paraId="65659725" w14:textId="77777777" w:rsidR="00555B4D" w:rsidRDefault="00555B4D" w:rsidP="00555B4D"/>
    <w:p w14:paraId="73252EC3" w14:textId="01FA31B2" w:rsidR="00555B4D" w:rsidRPr="00555B4D" w:rsidRDefault="00555B4D" w:rsidP="00555B4D">
      <w:pPr>
        <w:rPr>
          <w:sz w:val="26"/>
          <w:szCs w:val="26"/>
        </w:rPr>
      </w:pPr>
      <w:r w:rsidRPr="00555B4D">
        <w:rPr>
          <w:sz w:val="26"/>
          <w:szCs w:val="26"/>
        </w:rPr>
        <w:t>Tema 3: Modelos metodológicos de gestión del cambio organizacional.</w:t>
      </w:r>
    </w:p>
    <w:p w14:paraId="1DE36876" w14:textId="77777777" w:rsidR="00555B4D" w:rsidRPr="00555B4D" w:rsidRDefault="00555B4D" w:rsidP="00555B4D">
      <w:pPr>
        <w:rPr>
          <w:sz w:val="26"/>
          <w:szCs w:val="26"/>
        </w:rPr>
      </w:pPr>
    </w:p>
    <w:p w14:paraId="6E2EDF2B" w14:textId="77777777" w:rsidR="00555B4D" w:rsidRPr="00555B4D" w:rsidRDefault="00555B4D" w:rsidP="00555B4D">
      <w:pPr>
        <w:rPr>
          <w:sz w:val="26"/>
          <w:szCs w:val="26"/>
        </w:rPr>
      </w:pPr>
    </w:p>
    <w:p w14:paraId="00000025" w14:textId="77777777" w:rsidR="00E54933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Introducción:</w:t>
      </w:r>
    </w:p>
    <w:p w14:paraId="00000026" w14:textId="77777777" w:rsidR="00E54933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La gestión del cambio es la disciplina de llevar a las personas de un estado actual a uno futuro de forma ordenada y humana. Este subtema profundiza en los dos estándares de la industria: el </w:t>
      </w:r>
      <w:r>
        <w:rPr>
          <w:rFonts w:ascii="Google Sans" w:eastAsia="Google Sans" w:hAnsi="Google Sans" w:cs="Google Sans"/>
          <w:b/>
          <w:bCs/>
          <w:color w:val="1F1F1F"/>
        </w:rPr>
        <w:t>Modelo de 8 Pasos de Kotter</w:t>
      </w:r>
      <w:r>
        <w:rPr>
          <w:rFonts w:ascii="Google Sans" w:eastAsia="Google Sans" w:hAnsi="Google Sans" w:cs="Google Sans"/>
          <w:color w:val="1F1F1F"/>
        </w:rPr>
        <w:t xml:space="preserve"> y el 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Modelo ADKAR de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Prosci</w:t>
      </w:r>
      <w:proofErr w:type="spellEnd"/>
      <w:r>
        <w:rPr>
          <w:rFonts w:ascii="Google Sans" w:eastAsia="Google Sans" w:hAnsi="Google Sans" w:cs="Google Sans"/>
          <w:color w:val="1F1F1F"/>
        </w:rPr>
        <w:t>. El especialista aprenderá que mientras las herramientas estructuran el proceso, es la visión y el compromiso del liderazgo lo que asegura que el cambio sea vivido y sostenido en el tiempo.</w:t>
      </w:r>
    </w:p>
    <w:p w14:paraId="00000027" w14:textId="77777777" w:rsidR="00E54933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Objetivos de Aprendizaje:</w:t>
      </w:r>
    </w:p>
    <w:p w14:paraId="00000028" w14:textId="77777777" w:rsidR="00E5493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Ejecutar las 8 etapas de Kotter para estructurar transformaciones estratégicas de gran escala.</w:t>
      </w:r>
    </w:p>
    <w:p w14:paraId="00000029" w14:textId="77777777" w:rsidR="00E5493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Aplicar el modelo ADKAR (Conciencia, Deseo, Conocimiento, Habilidad, Refuerzo) para gestionar la adopción individual del cambio.</w:t>
      </w:r>
    </w:p>
    <w:p w14:paraId="0000002A" w14:textId="77777777" w:rsidR="00E5493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Diseñar esquemas de gobernanza híbrida que integren flujos predictivos y ágiles para la gestión de crisis en 2026.</w:t>
      </w:r>
    </w:p>
    <w:p w14:paraId="0000002B" w14:textId="77777777" w:rsidR="00E5493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Contenido:</w:t>
      </w:r>
    </w:p>
    <w:p w14:paraId="0000002C" w14:textId="77777777" w:rsidR="00E5493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Parte 1: El Modelo de Kotter en la Era Digital:</w:t>
      </w:r>
      <w:r>
        <w:rPr>
          <w:rFonts w:ascii="Google Sans" w:eastAsia="Google Sans" w:hAnsi="Google Sans" w:cs="Google Sans"/>
          <w:color w:val="1F1F1F"/>
        </w:rPr>
        <w:t xml:space="preserve"> John Kotter propone un flujo secuencial para el éxito: </w:t>
      </w:r>
      <w:r>
        <w:rPr>
          <w:rFonts w:ascii="Google Sans" w:eastAsia="Google Sans" w:hAnsi="Google Sans" w:cs="Google Sans"/>
          <w:b/>
          <w:bCs/>
          <w:color w:val="1F1F1F"/>
        </w:rPr>
        <w:t>1) Crear urgencia</w:t>
      </w:r>
      <w:r>
        <w:rPr>
          <w:rFonts w:ascii="Google Sans" w:eastAsia="Google Sans" w:hAnsi="Google Sans" w:cs="Google Sans"/>
          <w:color w:val="1F1F1F"/>
        </w:rPr>
        <w:t xml:space="preserve"> (el cambio debe presentarse como solución a una amenaza real); </w:t>
      </w:r>
      <w:r>
        <w:rPr>
          <w:rFonts w:ascii="Google Sans" w:eastAsia="Google Sans" w:hAnsi="Google Sans" w:cs="Google Sans"/>
          <w:b/>
          <w:bCs/>
          <w:color w:val="1F1F1F"/>
        </w:rPr>
        <w:t>2) Formar coalición</w:t>
      </w:r>
      <w:r>
        <w:rPr>
          <w:rFonts w:ascii="Google Sans" w:eastAsia="Google Sans" w:hAnsi="Google Sans" w:cs="Google Sans"/>
          <w:color w:val="1F1F1F"/>
        </w:rPr>
        <w:t xml:space="preserve"> (equipo de influenciadores); </w:t>
      </w:r>
      <w:r>
        <w:rPr>
          <w:rFonts w:ascii="Google Sans" w:eastAsia="Google Sans" w:hAnsi="Google Sans" w:cs="Google Sans"/>
          <w:b/>
          <w:bCs/>
          <w:color w:val="1F1F1F"/>
        </w:rPr>
        <w:t>3) Visión clara</w:t>
      </w:r>
      <w:r>
        <w:rPr>
          <w:rFonts w:ascii="Google Sans" w:eastAsia="Google Sans" w:hAnsi="Google Sans" w:cs="Google Sans"/>
          <w:color w:val="1F1F1F"/>
        </w:rPr>
        <w:t xml:space="preserve">; </w:t>
      </w:r>
      <w:r>
        <w:rPr>
          <w:rFonts w:ascii="Google Sans" w:eastAsia="Google Sans" w:hAnsi="Google Sans" w:cs="Google Sans"/>
          <w:b/>
          <w:bCs/>
          <w:color w:val="1F1F1F"/>
        </w:rPr>
        <w:t>4) Comunicar la visión</w:t>
      </w:r>
      <w:r>
        <w:rPr>
          <w:rFonts w:ascii="Google Sans" w:eastAsia="Google Sans" w:hAnsi="Google Sans" w:cs="Google Sans"/>
          <w:color w:val="1F1F1F"/>
        </w:rPr>
        <w:t xml:space="preserve"> (repetir por todos los canales); </w:t>
      </w:r>
      <w:r>
        <w:rPr>
          <w:rFonts w:ascii="Google Sans" w:eastAsia="Google Sans" w:hAnsi="Google Sans" w:cs="Google Sans"/>
          <w:b/>
          <w:bCs/>
          <w:color w:val="1F1F1F"/>
        </w:rPr>
        <w:t>5) Empoderar</w:t>
      </w:r>
      <w:r>
        <w:rPr>
          <w:rFonts w:ascii="Google Sans" w:eastAsia="Google Sans" w:hAnsi="Google Sans" w:cs="Google Sans"/>
          <w:color w:val="1F1F1F"/>
        </w:rPr>
        <w:t xml:space="preserve"> (eliminar obstáculos); </w:t>
      </w:r>
      <w:r>
        <w:rPr>
          <w:rFonts w:ascii="Google Sans" w:eastAsia="Google Sans" w:hAnsi="Google Sans" w:cs="Google Sans"/>
          <w:b/>
          <w:bCs/>
          <w:color w:val="1F1F1F"/>
        </w:rPr>
        <w:t>6) Ganancias rápidas</w:t>
      </w:r>
      <w:r>
        <w:rPr>
          <w:rFonts w:ascii="Google Sans" w:eastAsia="Google Sans" w:hAnsi="Google Sans" w:cs="Google Sans"/>
          <w:color w:val="1F1F1F"/>
        </w:rPr>
        <w:t xml:space="preserve"> (victorias tempranas que motiven); </w:t>
      </w:r>
      <w:r>
        <w:rPr>
          <w:rFonts w:ascii="Google Sans" w:eastAsia="Google Sans" w:hAnsi="Google Sans" w:cs="Google Sans"/>
          <w:b/>
          <w:bCs/>
          <w:color w:val="1F1F1F"/>
        </w:rPr>
        <w:t>7) Construir sobre el cambio</w:t>
      </w:r>
      <w:r>
        <w:rPr>
          <w:rFonts w:ascii="Google Sans" w:eastAsia="Google Sans" w:hAnsi="Google Sans" w:cs="Google Sans"/>
          <w:color w:val="1F1F1F"/>
        </w:rPr>
        <w:t xml:space="preserve">; y </w:t>
      </w:r>
      <w:r>
        <w:rPr>
          <w:rFonts w:ascii="Google Sans" w:eastAsia="Google Sans" w:hAnsi="Google Sans" w:cs="Google Sans"/>
          <w:b/>
          <w:bCs/>
          <w:color w:val="1F1F1F"/>
        </w:rPr>
        <w:t>8) Anclar en la cultura</w:t>
      </w:r>
      <w:r>
        <w:rPr>
          <w:rFonts w:ascii="Google Sans" w:eastAsia="Google Sans" w:hAnsi="Google Sans" w:cs="Google Sans"/>
          <w:color w:val="1F1F1F"/>
        </w:rPr>
        <w:t>. En 2025, este modelo exige que el líder ejemplifique con su comportamiento el nuevo paradigma, convirtiendo la transformación en "la forma en que hacemos las cosas aquí".</w:t>
      </w:r>
    </w:p>
    <w:p w14:paraId="0000002D" w14:textId="77777777" w:rsidR="00E5493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Parte 2: ADKAR y la Dimensión Individual:</w:t>
      </w:r>
      <w:r>
        <w:rPr>
          <w:rFonts w:ascii="Google Sans" w:eastAsia="Google Sans" w:hAnsi="Google Sans" w:cs="Google Sans"/>
          <w:color w:val="1F1F1F"/>
        </w:rPr>
        <w:t xml:space="preserve"> Mientras Kotter se enfoca en la organización, el modelo </w:t>
      </w:r>
      <w:r>
        <w:rPr>
          <w:rFonts w:ascii="Google Sans" w:eastAsia="Google Sans" w:hAnsi="Google Sans" w:cs="Google Sans"/>
          <w:b/>
          <w:bCs/>
          <w:color w:val="1F1F1F"/>
        </w:rPr>
        <w:t>ADKAR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Prosci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t xml:space="preserve"> se centra en la persona. El cambio solo ocurre si cada individuo tiene: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</w:t>
      </w:r>
      <w:r>
        <w:rPr>
          <w:rFonts w:ascii="Google Sans" w:eastAsia="Google Sans" w:hAnsi="Google Sans" w:cs="Google Sans"/>
          <w:color w:val="1F1F1F"/>
        </w:rPr>
        <w:t>wareness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(conciencia del porqué); </w:t>
      </w:r>
      <w:r>
        <w:rPr>
          <w:rFonts w:ascii="Google Sans" w:eastAsia="Google Sans" w:hAnsi="Google Sans" w:cs="Google Sans"/>
          <w:b/>
          <w:bCs/>
          <w:color w:val="1F1F1F"/>
        </w:rPr>
        <w:t>D</w:t>
      </w:r>
      <w:r>
        <w:rPr>
          <w:rFonts w:ascii="Google Sans" w:eastAsia="Google Sans" w:hAnsi="Google Sans" w:cs="Google Sans"/>
          <w:color w:val="1F1F1F"/>
        </w:rPr>
        <w:t xml:space="preserve">esire (motivación); </w:t>
      </w:r>
      <w:r>
        <w:rPr>
          <w:rFonts w:ascii="Google Sans" w:eastAsia="Google Sans" w:hAnsi="Google Sans" w:cs="Google Sans"/>
          <w:b/>
          <w:bCs/>
          <w:color w:val="1F1F1F"/>
        </w:rPr>
        <w:t>K</w:t>
      </w:r>
      <w:r>
        <w:rPr>
          <w:rFonts w:ascii="Google Sans" w:eastAsia="Google Sans" w:hAnsi="Google Sans" w:cs="Google Sans"/>
          <w:color w:val="1F1F1F"/>
        </w:rPr>
        <w:t xml:space="preserve">nowledge (saber cómo);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</w:t>
      </w:r>
      <w:r>
        <w:rPr>
          <w:rFonts w:ascii="Google Sans" w:eastAsia="Google Sans" w:hAnsi="Google Sans" w:cs="Google Sans"/>
          <w:color w:val="1F1F1F"/>
        </w:rPr>
        <w:t>bility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(capacidad de ejecución); y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</w:t>
      </w:r>
      <w:r>
        <w:rPr>
          <w:rFonts w:ascii="Google Sans" w:eastAsia="Google Sans" w:hAnsi="Google Sans" w:cs="Google Sans"/>
          <w:color w:val="1F1F1F"/>
        </w:rPr>
        <w:t>einforcement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(refuerzo para no retroceder). El especialista debe diagnosticar en qué punto de la sigla se encuentra cada segmento de la población para personalizar las intervenciones formativas y de comunicación, evitando que la transformación se quede en el papel porque la gente no la "adopta".</w:t>
      </w:r>
    </w:p>
    <w:p w14:paraId="0000002E" w14:textId="77777777" w:rsidR="00E5493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Parte 3: Gobernanza del Cambio y Gestión Híbrida 2026:</w:t>
      </w:r>
      <w:r>
        <w:rPr>
          <w:rFonts w:ascii="Google Sans" w:eastAsia="Google Sans" w:hAnsi="Google Sans" w:cs="Google Sans"/>
          <w:color w:val="1F1F1F"/>
        </w:rPr>
        <w:t xml:space="preserve"> Hacia el 2026, la dicotomía entre planificación tradicional (cascada) y agilidad desaparece. El nuevo estándar es la </w:t>
      </w:r>
      <w:r>
        <w:rPr>
          <w:rFonts w:ascii="Google Sans" w:eastAsia="Google Sans" w:hAnsi="Google Sans" w:cs="Google Sans"/>
          <w:b/>
          <w:bCs/>
          <w:color w:val="1F1F1F"/>
        </w:rPr>
        <w:t>Gestión Híbrida</w:t>
      </w:r>
      <w:r>
        <w:rPr>
          <w:rFonts w:ascii="Google Sans" w:eastAsia="Google Sans" w:hAnsi="Google Sans" w:cs="Google Sans"/>
          <w:color w:val="1F1F1F"/>
        </w:rPr>
        <w:t xml:space="preserve">, que selecciona prácticas según el tipo de proyecto: rigurosidad en los hitos financieros y flexibilidad radical en la entrega de valor. El especialista debe diseñar </w:t>
      </w:r>
      <w:r>
        <w:rPr>
          <w:rFonts w:ascii="Google Sans" w:eastAsia="Google Sans" w:hAnsi="Google Sans" w:cs="Google Sans"/>
          <w:color w:val="1F1F1F"/>
        </w:rPr>
        <w:lastRenderedPageBreak/>
        <w:t xml:space="preserve">estructuras que permitan a los equipos autogestionarse y pivotar rápido ante eventos "cisne negro", utilizando datos de 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People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Analytics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en tiempo real para ajustar la ruta de transformación sin perder el alineamiento estratégico con el negocio.</w:t>
      </w:r>
    </w:p>
    <w:p w14:paraId="0000002F" w14:textId="77777777" w:rsidR="00E5493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Referencias para ampliación:</w:t>
      </w:r>
    </w:p>
    <w:p w14:paraId="00000030" w14:textId="77777777" w:rsidR="00E5493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Kotter, J. P. (1996). </w:t>
      </w:r>
      <w:r>
        <w:rPr>
          <w:rFonts w:ascii="Google Sans" w:eastAsia="Google Sans" w:hAnsi="Google Sans" w:cs="Google Sans"/>
          <w:i/>
          <w:iCs/>
          <w:color w:val="1F1F1F"/>
        </w:rPr>
        <w:t>Leading Change</w:t>
      </w:r>
      <w:r>
        <w:rPr>
          <w:rFonts w:ascii="Google Sans" w:eastAsia="Google Sans" w:hAnsi="Google Sans" w:cs="Google Sans"/>
          <w:color w:val="1F1F1F"/>
        </w:rPr>
        <w:t>. Harvard Business School Press.</w:t>
      </w:r>
    </w:p>
    <w:p w14:paraId="00000031" w14:textId="77777777" w:rsidR="00E5493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Prosci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(2024). </w:t>
      </w:r>
      <w:r>
        <w:rPr>
          <w:rFonts w:ascii="Google Sans" w:eastAsia="Google Sans" w:hAnsi="Google Sans" w:cs="Google Sans"/>
          <w:i/>
          <w:iCs/>
          <w:color w:val="1F1F1F"/>
        </w:rPr>
        <w:t>The ADKAR Model: Individual Change Methodology</w:t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</w:t>
      </w:r>
    </w:p>
    <w:p w14:paraId="00000032" w14:textId="77777777" w:rsidR="00E5493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Antonio Nieto-</w:t>
      </w:r>
      <w:proofErr w:type="spellStart"/>
      <w:r>
        <w:rPr>
          <w:rFonts w:ascii="Google Sans" w:eastAsia="Google Sans" w:hAnsi="Google Sans" w:cs="Google Sans"/>
          <w:color w:val="1F1F1F"/>
        </w:rPr>
        <w:t>Rodriguez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(2025). </w:t>
      </w:r>
      <w:r>
        <w:rPr>
          <w:rFonts w:ascii="Google Sans" w:eastAsia="Google Sans" w:hAnsi="Google Sans" w:cs="Google Sans"/>
          <w:i/>
          <w:iCs/>
          <w:color w:val="1F1F1F"/>
        </w:rPr>
        <w:t>Hybrid Project Management: The New Standard</w:t>
      </w:r>
      <w:r>
        <w:rPr>
          <w:rFonts w:ascii="Google Sans" w:eastAsia="Google Sans" w:hAnsi="Google Sans" w:cs="Google Sans"/>
          <w:color w:val="1F1F1F"/>
        </w:rPr>
        <w:t>. HBR.</w:t>
      </w:r>
    </w:p>
    <w:p w14:paraId="0000005B" w14:textId="23714D6D" w:rsidR="00E54933" w:rsidRDefault="00000000" w:rsidP="00555B4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IBM </w:t>
      </w:r>
      <w:proofErr w:type="spellStart"/>
      <w:r>
        <w:rPr>
          <w:rFonts w:ascii="Google Sans" w:eastAsia="Google Sans" w:hAnsi="Google Sans" w:cs="Google Sans"/>
          <w:color w:val="1F1F1F"/>
        </w:rPr>
        <w:t>Think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(2024).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Scenario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Planning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for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Strategic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Resilience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in BANI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Environments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  <w:r w:rsidR="00555B4D">
        <w:t xml:space="preserve"> </w:t>
      </w:r>
    </w:p>
    <w:sectPr w:rsidR="00E5493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C8FBD828-F534-420E-9B30-641CBBCEDE8C}"/>
  </w:font>
  <w:font w:name="Google Sans">
    <w:charset w:val="00"/>
    <w:family w:val="auto"/>
    <w:pitch w:val="default"/>
    <w:embedRegular r:id="rId2" w:fontKey="{EDB88C19-6EB2-41FF-93B9-9C802A0DB8A1}"/>
    <w:embedBold r:id="rId3" w:fontKey="{D3462EA0-1E9D-40A1-AD46-6A3A4A8B732B}"/>
    <w:embedItalic r:id="rId4" w:fontKey="{42181ABC-E69C-405B-B7CA-4C27C812BBC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C1AC36F-9B94-4213-8AF9-9027547A06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A8A07DE-90EF-492D-874B-E0474F5DDA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2F38"/>
    <w:multiLevelType w:val="multilevel"/>
    <w:tmpl w:val="4BBE4C10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2533A93"/>
    <w:multiLevelType w:val="multilevel"/>
    <w:tmpl w:val="A9C2F50E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D124862"/>
    <w:multiLevelType w:val="multilevel"/>
    <w:tmpl w:val="480088D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68A7AEA"/>
    <w:multiLevelType w:val="multilevel"/>
    <w:tmpl w:val="7DB2812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BAD25EF"/>
    <w:multiLevelType w:val="multilevel"/>
    <w:tmpl w:val="EC38CAE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D3C550A"/>
    <w:multiLevelType w:val="multilevel"/>
    <w:tmpl w:val="65FC058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952099F"/>
    <w:multiLevelType w:val="multilevel"/>
    <w:tmpl w:val="96D4BA8E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01C16B4"/>
    <w:multiLevelType w:val="multilevel"/>
    <w:tmpl w:val="DFFC4356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4F63B2A"/>
    <w:multiLevelType w:val="multilevel"/>
    <w:tmpl w:val="FFE2198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7CD2070"/>
    <w:multiLevelType w:val="multilevel"/>
    <w:tmpl w:val="540E32D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E2218B0"/>
    <w:multiLevelType w:val="multilevel"/>
    <w:tmpl w:val="94DE9B68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061339D"/>
    <w:multiLevelType w:val="multilevel"/>
    <w:tmpl w:val="B05C375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18D1FCC"/>
    <w:multiLevelType w:val="multilevel"/>
    <w:tmpl w:val="019AAE96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B8B1093"/>
    <w:multiLevelType w:val="multilevel"/>
    <w:tmpl w:val="F190B3C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395735B"/>
    <w:multiLevelType w:val="multilevel"/>
    <w:tmpl w:val="77F80AF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6E638E7"/>
    <w:multiLevelType w:val="multilevel"/>
    <w:tmpl w:val="4F48F62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98066A0"/>
    <w:multiLevelType w:val="multilevel"/>
    <w:tmpl w:val="94A40016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8694554">
    <w:abstractNumId w:val="7"/>
  </w:num>
  <w:num w:numId="2" w16cid:durableId="685643637">
    <w:abstractNumId w:val="0"/>
  </w:num>
  <w:num w:numId="3" w16cid:durableId="713315589">
    <w:abstractNumId w:val="3"/>
  </w:num>
  <w:num w:numId="4" w16cid:durableId="2105345042">
    <w:abstractNumId w:val="15"/>
  </w:num>
  <w:num w:numId="5" w16cid:durableId="1405101340">
    <w:abstractNumId w:val="5"/>
  </w:num>
  <w:num w:numId="6" w16cid:durableId="712072253">
    <w:abstractNumId w:val="16"/>
  </w:num>
  <w:num w:numId="7" w16cid:durableId="647324782">
    <w:abstractNumId w:val="11"/>
  </w:num>
  <w:num w:numId="8" w16cid:durableId="114451154">
    <w:abstractNumId w:val="14"/>
  </w:num>
  <w:num w:numId="9" w16cid:durableId="197813229">
    <w:abstractNumId w:val="12"/>
  </w:num>
  <w:num w:numId="10" w16cid:durableId="1879732022">
    <w:abstractNumId w:val="9"/>
  </w:num>
  <w:num w:numId="11" w16cid:durableId="1182473089">
    <w:abstractNumId w:val="13"/>
  </w:num>
  <w:num w:numId="12" w16cid:durableId="1693997670">
    <w:abstractNumId w:val="1"/>
  </w:num>
  <w:num w:numId="13" w16cid:durableId="1716348041">
    <w:abstractNumId w:val="10"/>
  </w:num>
  <w:num w:numId="14" w16cid:durableId="578289883">
    <w:abstractNumId w:val="2"/>
  </w:num>
  <w:num w:numId="15" w16cid:durableId="32921499">
    <w:abstractNumId w:val="6"/>
  </w:num>
  <w:num w:numId="16" w16cid:durableId="484976484">
    <w:abstractNumId w:val="8"/>
  </w:num>
  <w:num w:numId="17" w16cid:durableId="14342075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933"/>
    <w:rsid w:val="00555B4D"/>
    <w:rsid w:val="00673286"/>
    <w:rsid w:val="00E5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FF4BB"/>
  <w15:docId w15:val="{6FC51840-08A9-4904-8296-9D99DB1BF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469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 Maria Trochez Arboleda</dc:creator>
  <cp:lastModifiedBy>Cristina Isabel Madera Gomez</cp:lastModifiedBy>
  <cp:revision>2</cp:revision>
  <dcterms:created xsi:type="dcterms:W3CDTF">2026-07-24T21:38:00Z</dcterms:created>
  <dcterms:modified xsi:type="dcterms:W3CDTF">2026-07-24T21:38:00Z</dcterms:modified>
</cp:coreProperties>
</file>