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8FF6ECF" w:rsidR="00675148" w:rsidRDefault="00000000">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Curso</w:t>
      </w:r>
      <w:r w:rsidR="004055FD">
        <w:rPr>
          <w:rFonts w:ascii="Google Sans" w:eastAsia="Google Sans" w:hAnsi="Google Sans" w:cs="Google Sans"/>
          <w:color w:val="1F1F1F"/>
        </w:rPr>
        <w:t xml:space="preserve">: </w:t>
      </w:r>
      <w:r>
        <w:rPr>
          <w:rFonts w:ascii="Google Sans" w:eastAsia="Google Sans" w:hAnsi="Google Sans" w:cs="Google Sans"/>
          <w:color w:val="1F1F1F"/>
        </w:rPr>
        <w:t xml:space="preserve"> Psicología Organizacional y Bienestar Humano</w:t>
      </w:r>
    </w:p>
    <w:p w14:paraId="00000002" w14:textId="77777777" w:rsidR="00675148"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Unidad 1: Atracción, Selección y Retención del Talento Humano</w:t>
      </w:r>
    </w:p>
    <w:p w14:paraId="00000003" w14:textId="77777777" w:rsidR="0067514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Unidad 1 aborda el ciclo de vida del colaborador desde una perspectiva psicológica y estratégica. El especialista aprenderá que atraer y retener talento no es una tarea administrativa mecánica, sino un proceso de vinculación humana basado en el ajuste cultural, la motivación intrínseca y la equidad. En el contexto de la formación de líderes para el año 2026, se enfatiza la gestión del talento con idoneidad, mérito y un firme enfoque en la sostenibilidad del bienestar humano.</w:t>
      </w:r>
    </w:p>
    <w:p w14:paraId="0AC41A68" w14:textId="39EE1F5F" w:rsidR="004055FD" w:rsidRDefault="004055FD" w:rsidP="004055FD">
      <w:r>
        <w:t>--------------------------------------------------------------------------------------------------------------------------</w:t>
      </w:r>
    </w:p>
    <w:p w14:paraId="46BCD767" w14:textId="77777777" w:rsidR="004055FD" w:rsidRDefault="004055FD" w:rsidP="004055FD"/>
    <w:p w14:paraId="4DF04ED2" w14:textId="2035B065" w:rsidR="004055FD" w:rsidRPr="004055FD" w:rsidRDefault="004055FD" w:rsidP="004055FD">
      <w:r w:rsidRPr="004055FD">
        <w:t>Tema</w:t>
      </w:r>
      <w:r>
        <w:t xml:space="preserve"> </w:t>
      </w:r>
      <w:r w:rsidRPr="004055FD">
        <w:t>1:</w:t>
      </w:r>
      <w:r>
        <w:t xml:space="preserve"> </w:t>
      </w:r>
      <w:r w:rsidRPr="004055FD">
        <w:t>Fundamentos conceptuales de la psicología organizacional aplicados al ciclo de vida del talento</w:t>
      </w:r>
    </w:p>
    <w:p w14:paraId="297CD967" w14:textId="77777777" w:rsidR="004055FD" w:rsidRDefault="004055FD">
      <w:pPr>
        <w:pBdr>
          <w:top w:val="nil"/>
          <w:left w:val="nil"/>
          <w:bottom w:val="nil"/>
          <w:right w:val="nil"/>
          <w:between w:val="nil"/>
        </w:pBdr>
        <w:spacing w:after="150" w:line="275" w:lineRule="auto"/>
        <w:rPr>
          <w:rFonts w:ascii="Google Sans" w:eastAsia="Google Sans" w:hAnsi="Google Sans" w:cs="Google Sans"/>
          <w:b/>
          <w:bCs/>
          <w:color w:val="1F1F1F"/>
        </w:rPr>
      </w:pPr>
    </w:p>
    <w:p w14:paraId="00000005" w14:textId="1C05E708" w:rsidR="00675148"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Introducción:</w:t>
      </w:r>
    </w:p>
    <w:p w14:paraId="00000006" w14:textId="77777777" w:rsidR="00675148"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psicología organizacional ha evolucionado de un enfoque puramente industrial y mecánico hacia una ciencia del comportamiento que estudia la interacción entre el individuo, el grupo y la organización. Este subtema establece los pilares psicológicos que explican cómo las personas se adaptan al entorno laboral, cómo se motivan y cómo su bienestar impacta directamente en la productividad sostenible. Para el especialista, comprender estas bases es fundamental para intervenir en cada etapa del ciclo de vida del talento (ingreso, desarrollo y retiro) con rigor científico.</w:t>
      </w:r>
    </w:p>
    <w:p w14:paraId="00000007" w14:textId="77777777" w:rsidR="00675148"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Objetivos de Aprendizaje:</w:t>
      </w:r>
    </w:p>
    <w:p w14:paraId="00000008" w14:textId="77777777" w:rsidR="0067514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Contrastar los paradigmas de la psicología industrial tradicional con los modelos contemporáneos de psicología de las organizaciones y del trabajo.</w:t>
      </w:r>
    </w:p>
    <w:p w14:paraId="00000009" w14:textId="77777777" w:rsidR="00675148"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Analizar las variables psicológicas (percepción, motivación, aprendizaje) que influyen en las diferentes etapas del ciclo de vida del servidor público y privado en Colombia.</w:t>
      </w:r>
    </w:p>
    <w:p w14:paraId="0000000A" w14:textId="77777777" w:rsidR="00675148"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Evaluar el impacto de la neurociencia y la inteligencia artificial en la redefinición de la experiencia del empleado hacia el 2026.</w:t>
      </w:r>
    </w:p>
    <w:p w14:paraId="0000000B" w14:textId="77777777" w:rsidR="00675148"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Contenido:</w:t>
      </w:r>
    </w:p>
    <w:p w14:paraId="0000000C" w14:textId="77777777" w:rsidR="0067514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Parte 1: Evolución de la Psicología del Trabajo:</w:t>
      </w:r>
      <w:r>
        <w:rPr>
          <w:rFonts w:ascii="Google Sans" w:eastAsia="Google Sans" w:hAnsi="Google Sans" w:cs="Google Sans"/>
          <w:color w:val="1F1F1F"/>
        </w:rPr>
        <w:t xml:space="preserve"> Históricamente, la psicología industrial se centraba en la eficiencia de las tareas y el control del trabajador como una pieza del </w:t>
      </w:r>
      <w:r>
        <w:rPr>
          <w:rFonts w:ascii="Google Sans" w:eastAsia="Google Sans" w:hAnsi="Google Sans" w:cs="Google Sans"/>
          <w:color w:val="1F1F1F"/>
        </w:rPr>
        <w:lastRenderedPageBreak/>
        <w:t xml:space="preserve">engranaje fabril. La transición hacia la </w:t>
      </w:r>
      <w:r>
        <w:rPr>
          <w:rFonts w:ascii="Google Sans" w:eastAsia="Google Sans" w:hAnsi="Google Sans" w:cs="Google Sans"/>
          <w:b/>
          <w:bCs/>
          <w:color w:val="1F1F1F"/>
        </w:rPr>
        <w:t>Psicología Organizacional</w:t>
      </w:r>
      <w:r>
        <w:rPr>
          <w:rFonts w:ascii="Google Sans" w:eastAsia="Google Sans" w:hAnsi="Google Sans" w:cs="Google Sans"/>
          <w:color w:val="1F1F1F"/>
        </w:rPr>
        <w:t xml:space="preserve"> incorporó el análisis de las emociones, los pensamientos y las dinámicas grupales como determinantes del rendimiento. En 2025, esta disciplina es el componente determinante de una gerencia interdisciplinaria, permitiendo una comprensión profunda de la "naturaleza del ser" para mitigar el riesgo de fracaso organizacional derivado de climas tóxicos o liderazgos desalineados.</w:t>
      </w:r>
    </w:p>
    <w:p w14:paraId="0000000D" w14:textId="77777777" w:rsidR="00675148"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Parte 2: El Ciclo de Vida del Talento desde el Comportamiento:</w:t>
      </w:r>
      <w:r>
        <w:rPr>
          <w:rFonts w:ascii="Google Sans" w:eastAsia="Google Sans" w:hAnsi="Google Sans" w:cs="Google Sans"/>
          <w:color w:val="1F1F1F"/>
        </w:rPr>
        <w:t xml:space="preserve"> El ciclo laboral abarca desde la atracción inicial hasta la desvinculación o retiro. La psicología organizacional aporta herramientas para gestionar cada fase: en el </w:t>
      </w:r>
      <w:r>
        <w:rPr>
          <w:rFonts w:ascii="Google Sans" w:eastAsia="Google Sans" w:hAnsi="Google Sans" w:cs="Google Sans"/>
          <w:b/>
          <w:bCs/>
          <w:color w:val="1F1F1F"/>
        </w:rPr>
        <w:t>ingreso</w:t>
      </w:r>
      <w:r>
        <w:rPr>
          <w:rFonts w:ascii="Google Sans" w:eastAsia="Google Sans" w:hAnsi="Google Sans" w:cs="Google Sans"/>
          <w:color w:val="1F1F1F"/>
        </w:rPr>
        <w:t xml:space="preserve">, mediante procesos de socialización que ponen las "huellas digitales" de la cultura en el recién llegado; en la </w:t>
      </w:r>
      <w:r>
        <w:rPr>
          <w:rFonts w:ascii="Google Sans" w:eastAsia="Google Sans" w:hAnsi="Google Sans" w:cs="Google Sans"/>
          <w:b/>
          <w:bCs/>
          <w:color w:val="1F1F1F"/>
        </w:rPr>
        <w:t>permanencia</w:t>
      </w:r>
      <w:r>
        <w:rPr>
          <w:rFonts w:ascii="Google Sans" w:eastAsia="Google Sans" w:hAnsi="Google Sans" w:cs="Google Sans"/>
          <w:color w:val="1F1F1F"/>
        </w:rPr>
        <w:t xml:space="preserve">, mediante el fortalecimiento del compromiso afectivo y la motivación; y en el </w:t>
      </w:r>
      <w:r>
        <w:rPr>
          <w:rFonts w:ascii="Google Sans" w:eastAsia="Google Sans" w:hAnsi="Google Sans" w:cs="Google Sans"/>
          <w:b/>
          <w:bCs/>
          <w:color w:val="1F1F1F"/>
        </w:rPr>
        <w:t>retiro</w:t>
      </w:r>
      <w:r>
        <w:rPr>
          <w:rFonts w:ascii="Google Sans" w:eastAsia="Google Sans" w:hAnsi="Google Sans" w:cs="Google Sans"/>
          <w:color w:val="1F1F1F"/>
        </w:rPr>
        <w:t xml:space="preserve">, asegurando un </w:t>
      </w:r>
      <w:proofErr w:type="spellStart"/>
      <w:r>
        <w:rPr>
          <w:rFonts w:ascii="Google Sans" w:eastAsia="Google Sans" w:hAnsi="Google Sans" w:cs="Google Sans"/>
          <w:i/>
          <w:iCs/>
          <w:color w:val="1F1F1F"/>
        </w:rPr>
        <w:t>offboarding</w:t>
      </w:r>
      <w:proofErr w:type="spellEnd"/>
      <w:r>
        <w:rPr>
          <w:rFonts w:ascii="Google Sans" w:eastAsia="Google Sans" w:hAnsi="Google Sans" w:cs="Google Sans"/>
          <w:color w:val="1F1F1F"/>
        </w:rPr>
        <w:t xml:space="preserve"> digno que preserve la memoria institucional y el bienestar del individuo.</w:t>
      </w:r>
    </w:p>
    <w:p w14:paraId="0000000E" w14:textId="77777777" w:rsidR="00675148"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Parte 3: Psicología Estratégica y Neurociencia en 2026:</w:t>
      </w:r>
      <w:r>
        <w:rPr>
          <w:rFonts w:ascii="Google Sans" w:eastAsia="Google Sans" w:hAnsi="Google Sans" w:cs="Google Sans"/>
          <w:color w:val="1F1F1F"/>
        </w:rPr>
        <w:t xml:space="preserve"> La tendencia actual se orienta hacia el liderazgo basado en la ciencia del alto desempeño y la gestión de la energía humana. El especialista debe dominar conceptos de </w:t>
      </w:r>
      <w:proofErr w:type="spellStart"/>
      <w:r>
        <w:rPr>
          <w:rFonts w:ascii="Google Sans" w:eastAsia="Google Sans" w:hAnsi="Google Sans" w:cs="Google Sans"/>
          <w:b/>
          <w:bCs/>
          <w:color w:val="1F1F1F"/>
        </w:rPr>
        <w:t>neuroarquitectura</w:t>
      </w:r>
      <w:proofErr w:type="spellEnd"/>
      <w:r>
        <w:rPr>
          <w:rFonts w:ascii="Google Sans" w:eastAsia="Google Sans" w:hAnsi="Google Sans" w:cs="Google Sans"/>
          <w:color w:val="1F1F1F"/>
        </w:rPr>
        <w:t xml:space="preserve"> (impacto del espacio físico y digital en la mente) y </w:t>
      </w:r>
      <w:r>
        <w:rPr>
          <w:rFonts w:ascii="Google Sans" w:eastAsia="Google Sans" w:hAnsi="Google Sans" w:cs="Google Sans"/>
          <w:b/>
          <w:bCs/>
          <w:color w:val="1F1F1F"/>
        </w:rPr>
        <w:t>orquestación humano-agente</w:t>
      </w:r>
      <w:r>
        <w:rPr>
          <w:rFonts w:ascii="Google Sans" w:eastAsia="Google Sans" w:hAnsi="Google Sans" w:cs="Google Sans"/>
          <w:color w:val="1F1F1F"/>
        </w:rPr>
        <w:t xml:space="preserve"> (colaboración con IA sin deshumanizar el trabajo). Este enfoque busca optimizar la concentración y la resiliencia, combatiendo el agotamiento crónico como un riesgo competitivo crítico para el futuro inmediato.</w:t>
      </w:r>
    </w:p>
    <w:p w14:paraId="0000000F" w14:textId="77777777" w:rsidR="00675148" w:rsidRDefault="00000000">
      <w:pPr>
        <w:pBdr>
          <w:top w:val="nil"/>
          <w:left w:val="nil"/>
          <w:bottom w:val="nil"/>
          <w:right w:val="nil"/>
          <w:between w:val="nil"/>
        </w:pBd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Referencias para ampliación:</w:t>
      </w:r>
    </w:p>
    <w:p w14:paraId="00000010" w14:textId="77777777" w:rsidR="0067514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Chiavenato, I. (2020). </w:t>
      </w:r>
      <w:r>
        <w:rPr>
          <w:rFonts w:ascii="Google Sans" w:eastAsia="Google Sans" w:hAnsi="Google Sans" w:cs="Google Sans"/>
          <w:i/>
          <w:iCs/>
          <w:color w:val="1F1F1F"/>
        </w:rPr>
        <w:t>Gestión del Talento Humano</w:t>
      </w:r>
      <w:r>
        <w:rPr>
          <w:rFonts w:ascii="Google Sans" w:eastAsia="Google Sans" w:hAnsi="Google Sans" w:cs="Google Sans"/>
          <w:color w:val="1F1F1F"/>
        </w:rPr>
        <w:t>. McGraw-Hill.</w:t>
      </w:r>
      <w:r>
        <w:rPr>
          <w:rFonts w:ascii="Google Sans" w:eastAsia="Google Sans" w:hAnsi="Google Sans" w:cs="Google Sans"/>
          <w:color w:val="444746"/>
          <w:sz w:val="24"/>
          <w:szCs w:val="24"/>
          <w:vertAlign w:val="superscript"/>
        </w:rPr>
        <w:t>1</w:t>
      </w:r>
    </w:p>
    <w:p w14:paraId="00000011" w14:textId="77777777" w:rsidR="0067514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Bancolombia Capital Inteligente (2025). </w:t>
      </w:r>
      <w:r>
        <w:rPr>
          <w:rFonts w:ascii="Google Sans" w:eastAsia="Google Sans" w:hAnsi="Google Sans" w:cs="Google Sans"/>
          <w:i/>
          <w:iCs/>
          <w:color w:val="1F1F1F"/>
        </w:rPr>
        <w:t>Diez tendencias que marcarán la gestión del talento</w:t>
      </w:r>
      <w:r>
        <w:rPr>
          <w:rFonts w:ascii="Google Sans" w:eastAsia="Google Sans" w:hAnsi="Google Sans" w:cs="Google Sans"/>
          <w:color w:val="1F1F1F"/>
        </w:rPr>
        <w:t>.</w:t>
      </w:r>
    </w:p>
    <w:p w14:paraId="00000012" w14:textId="77777777" w:rsidR="00675148"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 xml:space="preserve">Alvis, A. (2024). </w:t>
      </w:r>
      <w:r>
        <w:rPr>
          <w:rFonts w:ascii="Google Sans" w:eastAsia="Google Sans" w:hAnsi="Google Sans" w:cs="Google Sans"/>
          <w:i/>
          <w:iCs/>
          <w:color w:val="1F1F1F"/>
        </w:rPr>
        <w:t>Psicología Organizacional y del Trabajo</w:t>
      </w:r>
      <w:r>
        <w:rPr>
          <w:rFonts w:ascii="Google Sans" w:eastAsia="Google Sans" w:hAnsi="Google Sans" w:cs="Google Sans"/>
          <w:color w:val="1F1F1F"/>
        </w:rPr>
        <w:t>. Universidad del Norte.</w:t>
      </w:r>
    </w:p>
    <w:p w14:paraId="00000013" w14:textId="69B4D215" w:rsidR="004055FD" w:rsidRDefault="00000000" w:rsidP="004055FD">
      <w:pPr>
        <w:numPr>
          <w:ilvl w:val="0"/>
          <w:numId w:val="4"/>
        </w:numPr>
        <w:pBdr>
          <w:top w:val="nil"/>
          <w:left w:val="nil"/>
          <w:bottom w:val="nil"/>
          <w:right w:val="nil"/>
          <w:between w:val="nil"/>
        </w:pBdr>
        <w:spacing w:after="120" w:line="275" w:lineRule="auto"/>
        <w:rPr>
          <w:rFonts w:ascii="Google Sans" w:eastAsia="Google Sans" w:hAnsi="Google Sans" w:cs="Google Sans"/>
          <w:color w:val="1F1F1F"/>
        </w:rPr>
      </w:pPr>
      <w:proofErr w:type="spellStart"/>
      <w:r>
        <w:rPr>
          <w:rFonts w:ascii="Google Sans" w:eastAsia="Google Sans" w:hAnsi="Google Sans" w:cs="Google Sans"/>
          <w:color w:val="1F1F1F"/>
        </w:rPr>
        <w:t>Psicomagister</w:t>
      </w:r>
      <w:proofErr w:type="spellEnd"/>
      <w:r>
        <w:rPr>
          <w:rFonts w:ascii="Google Sans" w:eastAsia="Google Sans" w:hAnsi="Google Sans" w:cs="Google Sans"/>
          <w:color w:val="1F1F1F"/>
        </w:rPr>
        <w:t xml:space="preserve"> (2026). </w:t>
      </w:r>
      <w:r>
        <w:rPr>
          <w:rFonts w:ascii="Google Sans" w:eastAsia="Google Sans" w:hAnsi="Google Sans" w:cs="Google Sans"/>
          <w:i/>
          <w:iCs/>
          <w:color w:val="1F1F1F"/>
        </w:rPr>
        <w:t>Tendencias en psicología del trabajo: Salud mental y bienestar sostenible</w:t>
      </w:r>
      <w:r>
        <w:rPr>
          <w:rFonts w:ascii="Google Sans" w:eastAsia="Google Sans" w:hAnsi="Google Sans" w:cs="Google Sans"/>
          <w:color w:val="1F1F1F"/>
        </w:rPr>
        <w:t>.</w:t>
      </w:r>
    </w:p>
    <w:p w14:paraId="00000054" w14:textId="4A4AB545" w:rsidR="00675148" w:rsidRDefault="00675148">
      <w:pPr>
        <w:pStyle w:val="Ttulo2"/>
        <w:spacing w:before="120" w:after="120" w:line="275" w:lineRule="auto"/>
        <w:rPr>
          <w:rFonts w:ascii="Google Sans" w:eastAsia="Google Sans" w:hAnsi="Google Sans" w:cs="Google Sans"/>
          <w:color w:val="1F1F1F"/>
        </w:rPr>
      </w:pPr>
    </w:p>
    <w:p w14:paraId="00000055" w14:textId="77777777" w:rsidR="00675148" w:rsidRDefault="00000000">
      <w:pPr>
        <w:pStyle w:val="Ttulo4"/>
        <w:spacing w:before="0"/>
        <w:rPr>
          <w:rFonts w:ascii="Google Sans" w:eastAsia="Google Sans" w:hAnsi="Google Sans" w:cs="Google Sans"/>
        </w:rPr>
      </w:pPr>
      <w:r>
        <w:rPr>
          <w:rFonts w:ascii="Google Sans" w:eastAsia="Google Sans" w:hAnsi="Google Sans" w:cs="Google Sans"/>
        </w:rPr>
        <w:t>Fuentes citadas</w:t>
      </w:r>
    </w:p>
    <w:p w14:paraId="00000056"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Tuning-América Latina: un proyecto de las universidades - Argentina, acceso: abril 12, 2026, </w:t>
      </w:r>
      <w:hyperlink r:id="rId5">
        <w:r>
          <w:rPr>
            <w:rFonts w:ascii="Google Sans" w:eastAsia="Google Sans" w:hAnsi="Google Sans" w:cs="Google Sans"/>
            <w:color w:val="0000EE"/>
            <w:sz w:val="24"/>
            <w:szCs w:val="24"/>
            <w:u w:val="single"/>
          </w:rPr>
          <w:t>https://rieoei.org/historico/documentos/rie35a08.htm</w:t>
        </w:r>
      </w:hyperlink>
    </w:p>
    <w:p w14:paraId="00000057"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Reflexiones y perspectivas de la Educación ... - Tuning </w:t>
      </w:r>
      <w:proofErr w:type="spellStart"/>
      <w:r>
        <w:rPr>
          <w:rFonts w:ascii="Google Sans" w:eastAsia="Google Sans" w:hAnsi="Google Sans" w:cs="Google Sans"/>
          <w:sz w:val="24"/>
          <w:szCs w:val="24"/>
        </w:rPr>
        <w:t>Academy</w:t>
      </w:r>
      <w:proofErr w:type="spellEnd"/>
      <w:r>
        <w:rPr>
          <w:rFonts w:ascii="Google Sans" w:eastAsia="Google Sans" w:hAnsi="Google Sans" w:cs="Google Sans"/>
          <w:sz w:val="24"/>
          <w:szCs w:val="24"/>
        </w:rPr>
        <w:t xml:space="preserve">, acceso: abril 12, 2026, </w:t>
      </w:r>
      <w:hyperlink r:id="rId6">
        <w:r>
          <w:rPr>
            <w:rFonts w:ascii="Google Sans" w:eastAsia="Google Sans" w:hAnsi="Google Sans" w:cs="Google Sans"/>
            <w:color w:val="0000EE"/>
            <w:sz w:val="24"/>
            <w:szCs w:val="24"/>
            <w:u w:val="single"/>
          </w:rPr>
          <w:t>https://tuningacademy.org/wp-content/uploads/2014/02/TuningLAIII_Final-Report_SP.pdf</w:t>
        </w:r>
      </w:hyperlink>
    </w:p>
    <w:p w14:paraId="00000058"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COMPETENCIAS PROYECTO TUNING-EUROPA, </w:t>
      </w:r>
      <w:proofErr w:type="gramStart"/>
      <w:r>
        <w:rPr>
          <w:rFonts w:ascii="Google Sans" w:eastAsia="Google Sans" w:hAnsi="Google Sans" w:cs="Google Sans"/>
          <w:sz w:val="24"/>
          <w:szCs w:val="24"/>
        </w:rPr>
        <w:t>TUNING.-</w:t>
      </w:r>
      <w:proofErr w:type="gramEnd"/>
      <w:r>
        <w:rPr>
          <w:rFonts w:ascii="Google Sans" w:eastAsia="Google Sans" w:hAnsi="Google Sans" w:cs="Google Sans"/>
          <w:sz w:val="24"/>
          <w:szCs w:val="24"/>
        </w:rPr>
        <w:t xml:space="preserve">AMERICA LATINA Introducción - Portal Académico del IEMS, acceso: abril 12, 2026, </w:t>
      </w:r>
      <w:hyperlink r:id="rId7">
        <w:r>
          <w:rPr>
            <w:rFonts w:ascii="Google Sans" w:eastAsia="Google Sans" w:hAnsi="Google Sans" w:cs="Google Sans"/>
            <w:color w:val="0000EE"/>
            <w:sz w:val="24"/>
            <w:szCs w:val="24"/>
            <w:u w:val="single"/>
          </w:rPr>
          <w:t>http://academicos.iems.edu.mx/cired/docs/tg/macroacademiaquimica/Competencias%20proyecto%20Tuning-Europa,%20Tuning-</w:t>
        </w:r>
        <w:r>
          <w:rPr>
            <w:rFonts w:ascii="Google Sans" w:eastAsia="Google Sans" w:hAnsi="Google Sans" w:cs="Google Sans"/>
            <w:color w:val="0000EE"/>
            <w:sz w:val="24"/>
            <w:szCs w:val="24"/>
            <w:u w:val="single"/>
          </w:rPr>
          <w:lastRenderedPageBreak/>
          <w:t>AmericaLatina_BravoSalinas.pdf</w:t>
        </w:r>
      </w:hyperlink>
    </w:p>
    <w:p w14:paraId="00000059"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¿Cómo generar valor desde el talento humano con People Analytics? - PwC, acceso: abril 12, 2026, </w:t>
      </w:r>
      <w:hyperlink r:id="rId8">
        <w:r>
          <w:rPr>
            <w:rFonts w:ascii="Google Sans" w:eastAsia="Google Sans" w:hAnsi="Google Sans" w:cs="Google Sans"/>
            <w:color w:val="0000EE"/>
            <w:sz w:val="24"/>
            <w:szCs w:val="24"/>
            <w:u w:val="single"/>
          </w:rPr>
          <w:t>https://www.pwc.com/co/es/pwc-insights/genera-valor-con-people-analytics.html</w:t>
        </w:r>
      </w:hyperlink>
    </w:p>
    <w:p w14:paraId="0000005A"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¿Por qué es importante aplicar el </w:t>
      </w:r>
      <w:proofErr w:type="spellStart"/>
      <w:r>
        <w:rPr>
          <w:rFonts w:ascii="Google Sans" w:eastAsia="Google Sans" w:hAnsi="Google Sans" w:cs="Google Sans"/>
          <w:sz w:val="24"/>
          <w:szCs w:val="24"/>
        </w:rPr>
        <w:t>people</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analytics</w:t>
      </w:r>
      <w:proofErr w:type="spellEnd"/>
      <w:r>
        <w:rPr>
          <w:rFonts w:ascii="Google Sans" w:eastAsia="Google Sans" w:hAnsi="Google Sans" w:cs="Google Sans"/>
          <w:sz w:val="24"/>
          <w:szCs w:val="24"/>
        </w:rPr>
        <w:t xml:space="preserve"> en la gestión del personal? - ESAN, acceso: abril 12, 2026, </w:t>
      </w:r>
      <w:hyperlink r:id="rId9">
        <w:r>
          <w:rPr>
            <w:rFonts w:ascii="Google Sans" w:eastAsia="Google Sans" w:hAnsi="Google Sans" w:cs="Google Sans"/>
            <w:color w:val="0000EE"/>
            <w:sz w:val="24"/>
            <w:szCs w:val="24"/>
            <w:u w:val="single"/>
          </w:rPr>
          <w:t>https://www.esan.edu.pe/conexion-esan/por-que-es-importante-aplicar-el-people-analytics-en-la-gestion-del-personal</w:t>
        </w:r>
      </w:hyperlink>
    </w:p>
    <w:p w14:paraId="0000005B"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Reforma laboral Colombia 2025: cambios clave para empresas | </w:t>
      </w:r>
      <w:proofErr w:type="spellStart"/>
      <w:r>
        <w:rPr>
          <w:rFonts w:ascii="Google Sans" w:eastAsia="Google Sans" w:hAnsi="Google Sans" w:cs="Google Sans"/>
          <w:sz w:val="24"/>
          <w:szCs w:val="24"/>
        </w:rPr>
        <w:t>Pluxee</w:t>
      </w:r>
      <w:proofErr w:type="spellEnd"/>
      <w:r>
        <w:rPr>
          <w:rFonts w:ascii="Google Sans" w:eastAsia="Google Sans" w:hAnsi="Google Sans" w:cs="Google Sans"/>
          <w:sz w:val="24"/>
          <w:szCs w:val="24"/>
        </w:rPr>
        <w:t xml:space="preserve">, acceso: abril 12, 2026, </w:t>
      </w:r>
      <w:hyperlink r:id="rId10">
        <w:r>
          <w:rPr>
            <w:rFonts w:ascii="Google Sans" w:eastAsia="Google Sans" w:hAnsi="Google Sans" w:cs="Google Sans"/>
            <w:color w:val="0000EE"/>
            <w:sz w:val="24"/>
            <w:szCs w:val="24"/>
            <w:u w:val="single"/>
          </w:rPr>
          <w:t>https://www.pluxee.co/blog/cambios-reforma-laboral-2025-colombia/</w:t>
        </w:r>
      </w:hyperlink>
    </w:p>
    <w:p w14:paraId="0000005C" w14:textId="77777777" w:rsidR="00675148" w:rsidRDefault="00000000">
      <w:pPr>
        <w:numPr>
          <w:ilvl w:val="0"/>
          <w:numId w:val="2"/>
        </w:numPr>
        <w:pBdr>
          <w:top w:val="nil"/>
          <w:left w:val="nil"/>
          <w:bottom w:val="nil"/>
          <w:right w:val="nil"/>
          <w:between w:val="nil"/>
        </w:pBdr>
      </w:pPr>
      <w:r>
        <w:rPr>
          <w:rFonts w:ascii="Google Sans" w:eastAsia="Google Sans" w:hAnsi="Google Sans" w:cs="Google Sans"/>
          <w:sz w:val="24"/>
          <w:szCs w:val="24"/>
        </w:rPr>
        <w:t xml:space="preserve">Guía completa para la reforma laboral 2025 - EY, acceso: abril 12, 2026, </w:t>
      </w:r>
      <w:hyperlink r:id="rId11">
        <w:r>
          <w:rPr>
            <w:rFonts w:ascii="Google Sans" w:eastAsia="Google Sans" w:hAnsi="Google Sans" w:cs="Google Sans"/>
            <w:color w:val="0000EE"/>
            <w:sz w:val="24"/>
            <w:szCs w:val="24"/>
            <w:u w:val="single"/>
          </w:rPr>
          <w:t>https://www.ey.com/es_co/insights/tax/reforma-laboral-colombia</w:t>
        </w:r>
      </w:hyperlink>
    </w:p>
    <w:sectPr w:rsidR="0067514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EB71003-FF11-4BC0-8DAE-7B2787549468}"/>
  </w:font>
  <w:font w:name="Google Sans">
    <w:altName w:val="Calibri"/>
    <w:charset w:val="00"/>
    <w:family w:val="auto"/>
    <w:pitch w:val="default"/>
    <w:embedRegular r:id="rId2" w:fontKey="{62FA1F1D-3D86-4EA7-AA30-B7CE56AF674A}"/>
    <w:embedBold r:id="rId3" w:fontKey="{4A38CA03-390B-45B9-9832-B6EEB0662D2A}"/>
    <w:embedItalic r:id="rId4" w:fontKey="{DB876AFD-18CF-4980-9385-7627677A2971}"/>
  </w:font>
  <w:font w:name="Calibri">
    <w:panose1 w:val="020F0502020204030204"/>
    <w:charset w:val="00"/>
    <w:family w:val="swiss"/>
    <w:pitch w:val="variable"/>
    <w:sig w:usb0="E4002EFF" w:usb1="C200247B" w:usb2="00000009" w:usb3="00000000" w:csb0="000001FF" w:csb1="00000000"/>
    <w:embedRegular r:id="rId5" w:fontKey="{72D3E390-59BB-46AB-A847-CD1DAB30822B}"/>
  </w:font>
  <w:font w:name="Cambria">
    <w:panose1 w:val="02040503050406030204"/>
    <w:charset w:val="00"/>
    <w:family w:val="roman"/>
    <w:pitch w:val="variable"/>
    <w:sig w:usb0="E00006FF" w:usb1="420024FF" w:usb2="02000000" w:usb3="00000000" w:csb0="0000019F" w:csb1="00000000"/>
    <w:embedRegular r:id="rId6" w:fontKey="{BB54A3A5-C06B-446F-A532-A5F1171767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583D9B"/>
    <w:multiLevelType w:val="multilevel"/>
    <w:tmpl w:val="60202FE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032626"/>
    <w:multiLevelType w:val="multilevel"/>
    <w:tmpl w:val="52E4490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E370D8"/>
    <w:multiLevelType w:val="multilevel"/>
    <w:tmpl w:val="AEBC0F6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475253"/>
    <w:multiLevelType w:val="multilevel"/>
    <w:tmpl w:val="18EC68D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8A64A08"/>
    <w:multiLevelType w:val="multilevel"/>
    <w:tmpl w:val="8D42C1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0B5757F"/>
    <w:multiLevelType w:val="multilevel"/>
    <w:tmpl w:val="926C9D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0F46710"/>
    <w:multiLevelType w:val="multilevel"/>
    <w:tmpl w:val="1798620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72247A1"/>
    <w:multiLevelType w:val="multilevel"/>
    <w:tmpl w:val="530A1AF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63119D5"/>
    <w:multiLevelType w:val="multilevel"/>
    <w:tmpl w:val="66DA471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8720D3E"/>
    <w:multiLevelType w:val="multilevel"/>
    <w:tmpl w:val="826E2FB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A42052F"/>
    <w:multiLevelType w:val="multilevel"/>
    <w:tmpl w:val="1EB44BF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C94001D"/>
    <w:multiLevelType w:val="multilevel"/>
    <w:tmpl w:val="FF169D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3B1BDA"/>
    <w:multiLevelType w:val="multilevel"/>
    <w:tmpl w:val="72F81F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8B27C6E"/>
    <w:multiLevelType w:val="multilevel"/>
    <w:tmpl w:val="A3F6B25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F116541"/>
    <w:multiLevelType w:val="multilevel"/>
    <w:tmpl w:val="90A0D8C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F462F46"/>
    <w:multiLevelType w:val="hybridMultilevel"/>
    <w:tmpl w:val="A284091C"/>
    <w:lvl w:ilvl="0" w:tplc="F2F8C86A">
      <w:start w:val="1"/>
      <w:numFmt w:val="bullet"/>
      <w:lvlText w:val=""/>
      <w:lvlPicBulletId w:val="0"/>
      <w:lvlJc w:val="left"/>
      <w:pPr>
        <w:tabs>
          <w:tab w:val="num" w:pos="720"/>
        </w:tabs>
        <w:ind w:left="720" w:hanging="360"/>
      </w:pPr>
      <w:rPr>
        <w:rFonts w:ascii="Symbol" w:hAnsi="Symbol" w:hint="default"/>
      </w:rPr>
    </w:lvl>
    <w:lvl w:ilvl="1" w:tplc="2D7C65FE" w:tentative="1">
      <w:start w:val="1"/>
      <w:numFmt w:val="bullet"/>
      <w:lvlText w:val=""/>
      <w:lvlJc w:val="left"/>
      <w:pPr>
        <w:tabs>
          <w:tab w:val="num" w:pos="1440"/>
        </w:tabs>
        <w:ind w:left="1440" w:hanging="360"/>
      </w:pPr>
      <w:rPr>
        <w:rFonts w:ascii="Symbol" w:hAnsi="Symbol" w:hint="default"/>
      </w:rPr>
    </w:lvl>
    <w:lvl w:ilvl="2" w:tplc="2A1496B8" w:tentative="1">
      <w:start w:val="1"/>
      <w:numFmt w:val="bullet"/>
      <w:lvlText w:val=""/>
      <w:lvlJc w:val="left"/>
      <w:pPr>
        <w:tabs>
          <w:tab w:val="num" w:pos="2160"/>
        </w:tabs>
        <w:ind w:left="2160" w:hanging="360"/>
      </w:pPr>
      <w:rPr>
        <w:rFonts w:ascii="Symbol" w:hAnsi="Symbol" w:hint="default"/>
      </w:rPr>
    </w:lvl>
    <w:lvl w:ilvl="3" w:tplc="8FAAEA6A" w:tentative="1">
      <w:start w:val="1"/>
      <w:numFmt w:val="bullet"/>
      <w:lvlText w:val=""/>
      <w:lvlJc w:val="left"/>
      <w:pPr>
        <w:tabs>
          <w:tab w:val="num" w:pos="2880"/>
        </w:tabs>
        <w:ind w:left="2880" w:hanging="360"/>
      </w:pPr>
      <w:rPr>
        <w:rFonts w:ascii="Symbol" w:hAnsi="Symbol" w:hint="default"/>
      </w:rPr>
    </w:lvl>
    <w:lvl w:ilvl="4" w:tplc="62A001FA" w:tentative="1">
      <w:start w:val="1"/>
      <w:numFmt w:val="bullet"/>
      <w:lvlText w:val=""/>
      <w:lvlJc w:val="left"/>
      <w:pPr>
        <w:tabs>
          <w:tab w:val="num" w:pos="3600"/>
        </w:tabs>
        <w:ind w:left="3600" w:hanging="360"/>
      </w:pPr>
      <w:rPr>
        <w:rFonts w:ascii="Symbol" w:hAnsi="Symbol" w:hint="default"/>
      </w:rPr>
    </w:lvl>
    <w:lvl w:ilvl="5" w:tplc="2764A9F0" w:tentative="1">
      <w:start w:val="1"/>
      <w:numFmt w:val="bullet"/>
      <w:lvlText w:val=""/>
      <w:lvlJc w:val="left"/>
      <w:pPr>
        <w:tabs>
          <w:tab w:val="num" w:pos="4320"/>
        </w:tabs>
        <w:ind w:left="4320" w:hanging="360"/>
      </w:pPr>
      <w:rPr>
        <w:rFonts w:ascii="Symbol" w:hAnsi="Symbol" w:hint="default"/>
      </w:rPr>
    </w:lvl>
    <w:lvl w:ilvl="6" w:tplc="D09C79E8" w:tentative="1">
      <w:start w:val="1"/>
      <w:numFmt w:val="bullet"/>
      <w:lvlText w:val=""/>
      <w:lvlJc w:val="left"/>
      <w:pPr>
        <w:tabs>
          <w:tab w:val="num" w:pos="5040"/>
        </w:tabs>
        <w:ind w:left="5040" w:hanging="360"/>
      </w:pPr>
      <w:rPr>
        <w:rFonts w:ascii="Symbol" w:hAnsi="Symbol" w:hint="default"/>
      </w:rPr>
    </w:lvl>
    <w:lvl w:ilvl="7" w:tplc="359C052E" w:tentative="1">
      <w:start w:val="1"/>
      <w:numFmt w:val="bullet"/>
      <w:lvlText w:val=""/>
      <w:lvlJc w:val="left"/>
      <w:pPr>
        <w:tabs>
          <w:tab w:val="num" w:pos="5760"/>
        </w:tabs>
        <w:ind w:left="5760" w:hanging="360"/>
      </w:pPr>
      <w:rPr>
        <w:rFonts w:ascii="Symbol" w:hAnsi="Symbol" w:hint="default"/>
      </w:rPr>
    </w:lvl>
    <w:lvl w:ilvl="8" w:tplc="1B561CD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C7904DC"/>
    <w:multiLevelType w:val="multilevel"/>
    <w:tmpl w:val="20500CA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77061712">
    <w:abstractNumId w:val="8"/>
  </w:num>
  <w:num w:numId="2" w16cid:durableId="39743904">
    <w:abstractNumId w:val="12"/>
  </w:num>
  <w:num w:numId="3" w16cid:durableId="1148864977">
    <w:abstractNumId w:val="4"/>
  </w:num>
  <w:num w:numId="4" w16cid:durableId="1214658378">
    <w:abstractNumId w:val="3"/>
  </w:num>
  <w:num w:numId="5" w16cid:durableId="111826472">
    <w:abstractNumId w:val="9"/>
  </w:num>
  <w:num w:numId="6" w16cid:durableId="409929618">
    <w:abstractNumId w:val="13"/>
  </w:num>
  <w:num w:numId="7" w16cid:durableId="1487433799">
    <w:abstractNumId w:val="6"/>
  </w:num>
  <w:num w:numId="8" w16cid:durableId="761219334">
    <w:abstractNumId w:val="16"/>
  </w:num>
  <w:num w:numId="9" w16cid:durableId="15931503">
    <w:abstractNumId w:val="11"/>
  </w:num>
  <w:num w:numId="10" w16cid:durableId="1218055958">
    <w:abstractNumId w:val="5"/>
  </w:num>
  <w:num w:numId="11" w16cid:durableId="90783162">
    <w:abstractNumId w:val="0"/>
  </w:num>
  <w:num w:numId="12" w16cid:durableId="342630459">
    <w:abstractNumId w:val="1"/>
  </w:num>
  <w:num w:numId="13" w16cid:durableId="535779837">
    <w:abstractNumId w:val="14"/>
  </w:num>
  <w:num w:numId="14" w16cid:durableId="318116163">
    <w:abstractNumId w:val="10"/>
  </w:num>
  <w:num w:numId="15" w16cid:durableId="798455241">
    <w:abstractNumId w:val="7"/>
  </w:num>
  <w:num w:numId="16" w16cid:durableId="1602688371">
    <w:abstractNumId w:val="2"/>
  </w:num>
  <w:num w:numId="17" w16cid:durableId="18016114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148"/>
    <w:rsid w:val="004055FD"/>
    <w:rsid w:val="00675148"/>
    <w:rsid w:val="00D00D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472A"/>
  <w15:docId w15:val="{83ECE652-D6B0-4F19-8B7F-5C3C43D0D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4055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wc.com/co/es/pwc-insights/genera-valor-con-people-analytic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academicos.iems.edu.mx/cired/docs/tg/macroacademiaquimica/Competencias%20proyecto%20Tuning-Europa,%20Tuning-AmericaLatina_BravoSalinas.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ningacademy.org/wp-content/uploads/2014/02/TuningLAIII_Final-Report_SP.pdf" TargetMode="External"/><Relationship Id="rId11" Type="http://schemas.openxmlformats.org/officeDocument/2006/relationships/hyperlink" Target="https://www.ey.com/es_co/insights/tax/reforma-laboral-colombia" TargetMode="External"/><Relationship Id="rId5" Type="http://schemas.openxmlformats.org/officeDocument/2006/relationships/hyperlink" Target="https://rieoei.org/historico/documentos/rie35a08.htm" TargetMode="External"/><Relationship Id="rId10" Type="http://schemas.openxmlformats.org/officeDocument/2006/relationships/hyperlink" Target="https://www.pluxee.co/blog/cambios-reforma-laboral-2025-colombia/" TargetMode="External"/><Relationship Id="rId4" Type="http://schemas.openxmlformats.org/officeDocument/2006/relationships/webSettings" Target="webSettings.xml"/><Relationship Id="rId9" Type="http://schemas.openxmlformats.org/officeDocument/2006/relationships/hyperlink" Target="https://www.esan.edu.pe/conexion-esan/por-que-es-importante-aplicar-el-people-analytics-en-la-gestion-del-person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924</Words>
  <Characters>5088</Characters>
  <Application>Microsoft Office Word</Application>
  <DocSecurity>0</DocSecurity>
  <Lines>42</Lines>
  <Paragraphs>11</Paragraphs>
  <ScaleCrop>false</ScaleCrop>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Cristina Isabel Madera Gomez</cp:lastModifiedBy>
  <cp:revision>2</cp:revision>
  <dcterms:created xsi:type="dcterms:W3CDTF">2026-07-06T14:07:00Z</dcterms:created>
  <dcterms:modified xsi:type="dcterms:W3CDTF">2026-07-06T14:10:00Z</dcterms:modified>
</cp:coreProperties>
</file>