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4314" w14:textId="77777777" w:rsidR="004B7A9B" w:rsidRDefault="004B7A9B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2A0DBB43" w14:textId="6F7C067C" w:rsidR="004B7A9B" w:rsidRPr="004B7A9B" w:rsidRDefault="004B7A9B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Google Sans"/>
          <w:color w:val="1F1F1F"/>
        </w:rPr>
      </w:pPr>
      <w:r w:rsidRPr="004B7A9B">
        <w:rPr>
          <w:rFonts w:eastAsia="Google Sans"/>
          <w:color w:val="1F1F1F"/>
        </w:rPr>
        <w:t>Tema 4: Herramientas de diagnóstico para la revisión de métodos y procedimientos</w:t>
      </w:r>
    </w:p>
    <w:p w14:paraId="00000036" w14:textId="7993DABB" w:rsidR="00F8066C" w:rsidRPr="004B7A9B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Google Sans"/>
          <w:b/>
          <w:bCs/>
          <w:color w:val="1F1F1F"/>
        </w:rPr>
      </w:pPr>
      <w:r w:rsidRPr="004B7A9B">
        <w:rPr>
          <w:rFonts w:eastAsia="Google Sans"/>
          <w:b/>
          <w:bCs/>
          <w:color w:val="1F1F1F"/>
        </w:rPr>
        <w:t>Introducción:</w:t>
      </w:r>
    </w:p>
    <w:p w14:paraId="00000037" w14:textId="77777777" w:rsidR="00F8066C" w:rsidRPr="004B7A9B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Google Sans"/>
          <w:color w:val="1F1F1F"/>
        </w:rPr>
      </w:pPr>
      <w:r w:rsidRPr="004B7A9B">
        <w:rPr>
          <w:rFonts w:eastAsia="Google Sans"/>
          <w:color w:val="1F1F1F"/>
        </w:rPr>
        <w:t>El diagnóstico organizacional es un proceso analítico que permite conocer la situación real de la empresa en un momento dado para descubrir problemas y áreas de oportunidad. Este subtema profundiza en herramientas funcionales y culturales, permitiendo al especialista realizar una "radiografía" precisa del sistema antes de proponer cualquier cambio, basándose en la interdependencia de los subsistemas organizacionales.</w:t>
      </w:r>
    </w:p>
    <w:p w14:paraId="00000038" w14:textId="77777777" w:rsidR="00F8066C" w:rsidRPr="004B7A9B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Google Sans"/>
          <w:b/>
          <w:bCs/>
          <w:color w:val="1F1F1F"/>
        </w:rPr>
      </w:pPr>
      <w:r w:rsidRPr="004B7A9B">
        <w:rPr>
          <w:rFonts w:eastAsia="Google Sans"/>
          <w:b/>
          <w:bCs/>
          <w:color w:val="1F1F1F"/>
        </w:rPr>
        <w:t>Objetivos de Aprendizaje:</w:t>
      </w:r>
    </w:p>
    <w:p w14:paraId="00000039" w14:textId="77777777" w:rsidR="00F8066C" w:rsidRPr="004B7A9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7A9B">
        <w:rPr>
          <w:rFonts w:eastAsia="Google Sans"/>
          <w:color w:val="1F1F1F"/>
        </w:rPr>
        <w:t>Ejecutar diagnósticos funcionales y culturales utilizando técnicas de recolección de información desde el cliente y el consultor.</w:t>
      </w:r>
    </w:p>
    <w:p w14:paraId="0000003A" w14:textId="77777777" w:rsidR="00F8066C" w:rsidRPr="004B7A9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7A9B">
        <w:rPr>
          <w:rFonts w:eastAsia="Google Sans"/>
          <w:color w:val="1F1F1F"/>
        </w:rPr>
        <w:t>Aplicar marcos de análisis estratégicos como las 7S de McKinsey y el Diagrama de Ishikawa para identificar causas raíz de desalineación.</w:t>
      </w:r>
    </w:p>
    <w:p w14:paraId="0000003B" w14:textId="77777777" w:rsidR="00F8066C" w:rsidRPr="004B7A9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B7A9B">
        <w:rPr>
          <w:rFonts w:eastAsia="Google Sans"/>
          <w:color w:val="1F1F1F"/>
        </w:rPr>
        <w:t>Validar las herramientas de diagnóstico mediante pruebas piloto y análisis de fiabilidad para garantizar la objetividad de los hallazgos.</w:t>
      </w:r>
    </w:p>
    <w:p w14:paraId="0000003C" w14:textId="77777777" w:rsidR="00F8066C" w:rsidRPr="004B7A9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eastAsia="Google Sans"/>
          <w:b/>
          <w:bCs/>
          <w:color w:val="1F1F1F"/>
        </w:rPr>
      </w:pPr>
      <w:r w:rsidRPr="004B7A9B">
        <w:rPr>
          <w:rFonts w:eastAsia="Google Sans"/>
          <w:b/>
          <w:bCs/>
          <w:color w:val="1F1F1F"/>
        </w:rPr>
        <w:t>Contenido:</w:t>
      </w:r>
    </w:p>
    <w:p w14:paraId="0000003D" w14:textId="77777777" w:rsidR="00F8066C" w:rsidRPr="004B7A9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7A9B">
        <w:rPr>
          <w:rFonts w:eastAsia="Google Sans"/>
          <w:b/>
          <w:bCs/>
          <w:color w:val="1F1F1F"/>
        </w:rPr>
        <w:t>Parte 1: Enfoques del Diagnóstico - Funcional vs. Cultural:</w:t>
      </w:r>
      <w:r w:rsidRPr="004B7A9B">
        <w:rPr>
          <w:rFonts w:eastAsia="Google Sans"/>
          <w:color w:val="1F1F1F"/>
        </w:rPr>
        <w:t xml:space="preserve"> El </w:t>
      </w:r>
      <w:r w:rsidRPr="004B7A9B">
        <w:rPr>
          <w:rFonts w:eastAsia="Google Sans"/>
          <w:b/>
          <w:bCs/>
          <w:color w:val="1F1F1F"/>
        </w:rPr>
        <w:t>Diagnóstico Funcional</w:t>
      </w:r>
      <w:r w:rsidRPr="004B7A9B">
        <w:rPr>
          <w:rFonts w:eastAsia="Google Sans"/>
          <w:color w:val="1F1F1F"/>
        </w:rPr>
        <w:t xml:space="preserve"> examina las estructuras de comunicación, la eficiencia de los procesos, la producción y la satisfacción del personal. Utiliza técnicas estructuradas como cuestionarios de gran escala, entrevistas detalladas y análisis de redes de comunicación. Por otro lado, el </w:t>
      </w:r>
      <w:r w:rsidRPr="004B7A9B">
        <w:rPr>
          <w:rFonts w:eastAsia="Google Sans"/>
          <w:b/>
          <w:bCs/>
          <w:color w:val="1F1F1F"/>
        </w:rPr>
        <w:t>Diagnóstico Cultural</w:t>
      </w:r>
      <w:r w:rsidRPr="004B7A9B">
        <w:rPr>
          <w:rFonts w:eastAsia="Google Sans"/>
          <w:color w:val="1F1F1F"/>
        </w:rPr>
        <w:t xml:space="preserve"> busca descubrir los valores, creencias y principios compartidos que guían el comportamiento organizacional. Ambas perspectivas son complementarias: mientras lo funcional mide "qué se hace y cómo", lo cultural explica "por qué se hace" y permite predecir la resistencia a nuevas intervenciones.</w:t>
      </w:r>
    </w:p>
    <w:p w14:paraId="0000003E" w14:textId="77777777" w:rsidR="00F8066C" w:rsidRPr="004B7A9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7A9B">
        <w:rPr>
          <w:rFonts w:eastAsia="Google Sans"/>
          <w:b/>
          <w:bCs/>
          <w:color w:val="1F1F1F"/>
        </w:rPr>
        <w:t>Parte 2: Marcos de Análisis Estratégico:</w:t>
      </w:r>
      <w:r w:rsidRPr="004B7A9B">
        <w:rPr>
          <w:rFonts w:eastAsia="Google Sans"/>
          <w:color w:val="1F1F1F"/>
        </w:rPr>
        <w:t xml:space="preserve"> El especialista debe dominar herramientas que permitan ver la organización como un todo interdependiente. El </w:t>
      </w:r>
      <w:r w:rsidRPr="004B7A9B">
        <w:rPr>
          <w:rFonts w:eastAsia="Google Sans"/>
          <w:b/>
          <w:bCs/>
          <w:color w:val="1F1F1F"/>
        </w:rPr>
        <w:t>7S Framework de McKinsey</w:t>
      </w:r>
      <w:r w:rsidRPr="004B7A9B">
        <w:rPr>
          <w:rFonts w:eastAsia="Google Sans"/>
          <w:color w:val="1F1F1F"/>
        </w:rPr>
        <w:t xml:space="preserve"> es fundamental para analizar la alineación entre siete dimensiones clave: estrategia, estructura, sistemas, valores compartidos, habilidades, estilo y personal. Complementariamente, herramientas como el </w:t>
      </w:r>
      <w:r w:rsidRPr="004B7A9B">
        <w:rPr>
          <w:rFonts w:eastAsia="Google Sans"/>
          <w:b/>
          <w:bCs/>
          <w:color w:val="1F1F1F"/>
        </w:rPr>
        <w:t>Diagrama de Ishikawa</w:t>
      </w:r>
      <w:r w:rsidRPr="004B7A9B">
        <w:rPr>
          <w:rFonts w:eastAsia="Google Sans"/>
          <w:color w:val="1F1F1F"/>
        </w:rPr>
        <w:t xml:space="preserve"> (Causa-Efecto) y el </w:t>
      </w:r>
      <w:r w:rsidRPr="004B7A9B">
        <w:rPr>
          <w:rFonts w:eastAsia="Google Sans"/>
          <w:b/>
          <w:bCs/>
          <w:color w:val="1F1F1F"/>
        </w:rPr>
        <w:t>Análisis de Pareto</w:t>
      </w:r>
      <w:r w:rsidRPr="004B7A9B">
        <w:rPr>
          <w:rFonts w:eastAsia="Google Sans"/>
          <w:color w:val="1F1F1F"/>
        </w:rPr>
        <w:t xml:space="preserve"> facilitan la priorización de los "pocos vitales" frente a los "muchos triviales". Estos marcos aseguran que el diagnóstico no sea una lista de quejas, sino un análisis sistémico de las variables que influyen en la productividad y la satisfacción laboral.</w:t>
      </w:r>
    </w:p>
    <w:p w14:paraId="0000003F" w14:textId="77777777" w:rsidR="00F8066C" w:rsidRPr="004B7A9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7A9B">
        <w:rPr>
          <w:rFonts w:eastAsia="Google Sans"/>
          <w:b/>
          <w:bCs/>
          <w:color w:val="1F1F1F"/>
        </w:rPr>
        <w:t>Parte 3: Metodología para el Diseño y Validación de Herramientas:</w:t>
      </w:r>
      <w:r w:rsidRPr="004B7A9B">
        <w:rPr>
          <w:rFonts w:eastAsia="Google Sans"/>
          <w:color w:val="1F1F1F"/>
        </w:rPr>
        <w:t xml:space="preserve"> Para que el diagnóstico tenga validez académica, el especialista debe seguir un proceso riguroso:</w:t>
      </w:r>
    </w:p>
    <w:p w14:paraId="00000040" w14:textId="77777777" w:rsidR="00F8066C" w:rsidRPr="004B7A9B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7A9B">
        <w:rPr>
          <w:rFonts w:eastAsia="Google Sans"/>
          <w:b/>
          <w:bCs/>
          <w:color w:val="1F1F1F"/>
        </w:rPr>
        <w:t>Identificar subsistemas</w:t>
      </w:r>
      <w:r w:rsidRPr="004B7A9B">
        <w:rPr>
          <w:rFonts w:eastAsia="Google Sans"/>
          <w:color w:val="1F1F1F"/>
        </w:rPr>
        <w:t xml:space="preserve"> y su interacción (enfoque de sistemas).</w:t>
      </w:r>
    </w:p>
    <w:p w14:paraId="00000041" w14:textId="77777777" w:rsidR="00F8066C" w:rsidRPr="004B7A9B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7A9B">
        <w:rPr>
          <w:rFonts w:eastAsia="Google Sans"/>
          <w:b/>
          <w:bCs/>
          <w:color w:val="1F1F1F"/>
        </w:rPr>
        <w:t>Generar el listado de ítems</w:t>
      </w:r>
      <w:r w:rsidRPr="004B7A9B">
        <w:rPr>
          <w:rFonts w:eastAsia="Google Sans"/>
          <w:color w:val="1F1F1F"/>
        </w:rPr>
        <w:t xml:space="preserve"> o preguntas a medir.</w:t>
      </w:r>
    </w:p>
    <w:p w14:paraId="00000042" w14:textId="77777777" w:rsidR="00F8066C" w:rsidRPr="004B7A9B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7A9B">
        <w:rPr>
          <w:rFonts w:eastAsia="Google Sans"/>
          <w:b/>
          <w:bCs/>
          <w:color w:val="1F1F1F"/>
        </w:rPr>
        <w:t>Validar con expertos</w:t>
      </w:r>
      <w:r w:rsidRPr="004B7A9B">
        <w:rPr>
          <w:rFonts w:eastAsia="Google Sans"/>
          <w:color w:val="1F1F1F"/>
        </w:rPr>
        <w:t xml:space="preserve"> y realizar </w:t>
      </w:r>
      <w:r w:rsidRPr="004B7A9B">
        <w:rPr>
          <w:rFonts w:eastAsia="Google Sans"/>
          <w:b/>
          <w:bCs/>
          <w:color w:val="1F1F1F"/>
        </w:rPr>
        <w:t>pruebas piloto</w:t>
      </w:r>
      <w:r w:rsidRPr="004B7A9B">
        <w:rPr>
          <w:rFonts w:eastAsia="Google Sans"/>
          <w:color w:val="1F1F1F"/>
        </w:rPr>
        <w:t>.</w:t>
      </w:r>
    </w:p>
    <w:p w14:paraId="00000043" w14:textId="77777777" w:rsidR="00F8066C" w:rsidRPr="004B7A9B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B7A9B">
        <w:rPr>
          <w:rFonts w:eastAsia="Google Sans"/>
          <w:b/>
          <w:bCs/>
          <w:color w:val="1F1F1F"/>
        </w:rPr>
        <w:t>Analizar la fiabilidad</w:t>
      </w:r>
      <w:r w:rsidRPr="004B7A9B">
        <w:rPr>
          <w:rFonts w:eastAsia="Google Sans"/>
          <w:color w:val="1F1F1F"/>
        </w:rPr>
        <w:t xml:space="preserve"> (ej. Alpha de Cronbach) de las escalas de medición.</w:t>
      </w:r>
      <w:r w:rsidRPr="004B7A9B">
        <w:rPr>
          <w:color w:val="000000"/>
        </w:rPr>
        <w:br/>
      </w:r>
      <w:r w:rsidRPr="004B7A9B">
        <w:rPr>
          <w:rFonts w:eastAsia="Google Sans"/>
          <w:color w:val="1F1F1F"/>
        </w:rPr>
        <w:t xml:space="preserve">Este rigor metodológico protege al especialista de los "supuestos </w:t>
      </w:r>
      <w:proofErr w:type="spellStart"/>
      <w:r w:rsidRPr="004B7A9B">
        <w:rPr>
          <w:rFonts w:eastAsia="Google Sans"/>
          <w:color w:val="1F1F1F"/>
        </w:rPr>
        <w:t>automatistas</w:t>
      </w:r>
      <w:proofErr w:type="spellEnd"/>
      <w:r w:rsidRPr="004B7A9B">
        <w:rPr>
          <w:rFonts w:eastAsia="Google Sans"/>
          <w:color w:val="1F1F1F"/>
        </w:rPr>
        <w:t xml:space="preserve">" </w:t>
      </w:r>
      <w:r w:rsidRPr="004B7A9B">
        <w:rPr>
          <w:rFonts w:eastAsia="Google Sans"/>
          <w:color w:val="1F1F1F"/>
        </w:rPr>
        <w:lastRenderedPageBreak/>
        <w:t>(pensar que un curso lo solucionará todo) y de los "supuestos conspirativos", permitiendo que la intervención se base en datos probados y no en rumores institucionales.</w:t>
      </w:r>
    </w:p>
    <w:p w14:paraId="00000044" w14:textId="77777777" w:rsidR="00F8066C" w:rsidRPr="004B7A9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eastAsia="Google Sans"/>
          <w:b/>
          <w:bCs/>
          <w:color w:val="1F1F1F"/>
        </w:rPr>
      </w:pPr>
      <w:r w:rsidRPr="004B7A9B">
        <w:rPr>
          <w:rFonts w:eastAsia="Google Sans"/>
          <w:b/>
          <w:bCs/>
          <w:color w:val="1F1F1F"/>
        </w:rPr>
        <w:t>Referencias para ampliación:</w:t>
      </w:r>
    </w:p>
    <w:p w14:paraId="00000045" w14:textId="77777777" w:rsidR="00F8066C" w:rsidRPr="004B7A9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7A9B">
        <w:rPr>
          <w:rFonts w:eastAsia="Google Sans"/>
          <w:color w:val="1F1F1F"/>
        </w:rPr>
        <w:t xml:space="preserve">GSH Blog. (2024). </w:t>
      </w:r>
      <w:r w:rsidRPr="004B7A9B">
        <w:rPr>
          <w:rFonts w:eastAsia="Google Sans"/>
          <w:i/>
          <w:iCs/>
          <w:color w:val="1F1F1F"/>
        </w:rPr>
        <w:t>Diagnóstico Organizacional: Métodos y Técnicas</w:t>
      </w:r>
      <w:r w:rsidRPr="004B7A9B">
        <w:rPr>
          <w:rFonts w:eastAsia="Google Sans"/>
          <w:color w:val="1F1F1F"/>
        </w:rPr>
        <w:t>.</w:t>
      </w:r>
    </w:p>
    <w:p w14:paraId="00000046" w14:textId="77777777" w:rsidR="00F8066C" w:rsidRPr="004B7A9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7A9B">
        <w:rPr>
          <w:rFonts w:eastAsia="Google Sans"/>
          <w:color w:val="1F1F1F"/>
        </w:rPr>
        <w:t xml:space="preserve">Ferrari, L. E. (2004). </w:t>
      </w:r>
      <w:r w:rsidRPr="004B7A9B">
        <w:rPr>
          <w:rFonts w:eastAsia="Google Sans"/>
          <w:i/>
          <w:iCs/>
          <w:color w:val="1F1F1F"/>
        </w:rPr>
        <w:t>El uso de herramientas de diagnóstico organizacional</w:t>
      </w:r>
      <w:r w:rsidRPr="004B7A9B">
        <w:rPr>
          <w:rFonts w:eastAsia="Google Sans"/>
          <w:color w:val="1F1F1F"/>
        </w:rPr>
        <w:t>.</w:t>
      </w:r>
    </w:p>
    <w:p w14:paraId="539E9544" w14:textId="77777777" w:rsidR="004B7A9B" w:rsidRPr="004B7A9B" w:rsidRDefault="00000000" w:rsidP="004B7A9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4B7A9B">
        <w:rPr>
          <w:rFonts w:eastAsia="Google Sans"/>
          <w:color w:val="1F1F1F"/>
        </w:rPr>
        <w:t xml:space="preserve">McKinsey &amp; Co. (2025). </w:t>
      </w:r>
      <w:r w:rsidRPr="004B7A9B">
        <w:rPr>
          <w:rFonts w:eastAsia="Google Sans"/>
          <w:i/>
          <w:iCs/>
          <w:color w:val="1F1F1F"/>
        </w:rPr>
        <w:t xml:space="preserve">The 7S Framework: A </w:t>
      </w:r>
      <w:proofErr w:type="spellStart"/>
      <w:r w:rsidRPr="004B7A9B">
        <w:rPr>
          <w:rFonts w:eastAsia="Google Sans"/>
          <w:i/>
          <w:iCs/>
          <w:color w:val="1F1F1F"/>
        </w:rPr>
        <w:t>Strategic</w:t>
      </w:r>
      <w:proofErr w:type="spellEnd"/>
      <w:r w:rsidRPr="004B7A9B">
        <w:rPr>
          <w:rFonts w:eastAsia="Google Sans"/>
          <w:i/>
          <w:iCs/>
          <w:color w:val="1F1F1F"/>
        </w:rPr>
        <w:t xml:space="preserve"> </w:t>
      </w:r>
      <w:proofErr w:type="spellStart"/>
      <w:r w:rsidRPr="004B7A9B">
        <w:rPr>
          <w:rFonts w:eastAsia="Google Sans"/>
          <w:i/>
          <w:iCs/>
          <w:color w:val="1F1F1F"/>
        </w:rPr>
        <w:t>Assessment</w:t>
      </w:r>
      <w:proofErr w:type="spellEnd"/>
      <w:r w:rsidRPr="004B7A9B">
        <w:rPr>
          <w:rFonts w:eastAsia="Google Sans"/>
          <w:i/>
          <w:iCs/>
          <w:color w:val="1F1F1F"/>
        </w:rPr>
        <w:t xml:space="preserve"> Tool</w:t>
      </w:r>
      <w:r w:rsidRPr="004B7A9B">
        <w:rPr>
          <w:rFonts w:eastAsia="Google Sans"/>
          <w:color w:val="1F1F1F"/>
        </w:rPr>
        <w:t>.</w:t>
      </w:r>
    </w:p>
    <w:p w14:paraId="472E5448" w14:textId="77777777" w:rsidR="004B7A9B" w:rsidRPr="004B7A9B" w:rsidRDefault="004B7A9B" w:rsidP="004B7A9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210"/>
        <w:rPr>
          <w:rFonts w:eastAsia="Google Sans"/>
          <w:color w:val="1F1F1F"/>
        </w:rPr>
      </w:pPr>
    </w:p>
    <w:p w14:paraId="3B44D1F1" w14:textId="77777777" w:rsidR="004B7A9B" w:rsidRPr="004B7A9B" w:rsidRDefault="00000000" w:rsidP="004B7A9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210"/>
      </w:pPr>
      <w:r>
        <w:pict w14:anchorId="0AA55241">
          <v:rect id="_x0000_i1026" style="width:0;height:1.5pt" o:hralign="center" o:bullet="t" o:hrstd="t" o:hr="t" fillcolor="#a0a0a0" stroked="f"/>
        </w:pict>
      </w:r>
    </w:p>
    <w:p w14:paraId="00000056" w14:textId="57643B53" w:rsidR="00F8066C" w:rsidRPr="004B7A9B" w:rsidRDefault="00000000" w:rsidP="004B7A9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210"/>
        <w:rPr>
          <w:rFonts w:eastAsia="Google Sans"/>
          <w:color w:val="1F1F1F"/>
        </w:rPr>
      </w:pPr>
      <w:r w:rsidRPr="004B7A9B">
        <w:rPr>
          <w:rFonts w:eastAsia="Google Sans"/>
          <w:color w:val="1F1F1F"/>
        </w:rPr>
        <w:t xml:space="preserve">Integración con Google </w:t>
      </w:r>
      <w:proofErr w:type="spellStart"/>
      <w:r w:rsidRPr="004B7A9B">
        <w:rPr>
          <w:rFonts w:eastAsia="Google Sans"/>
          <w:color w:val="1F1F1F"/>
        </w:rPr>
        <w:t>Docs</w:t>
      </w:r>
      <w:proofErr w:type="spellEnd"/>
      <w:r w:rsidRPr="004B7A9B">
        <w:rPr>
          <w:rFonts w:eastAsia="Google Sans"/>
          <w:color w:val="1F1F1F"/>
        </w:rPr>
        <w:t xml:space="preserve"> y Guía para el Estudiante</w:t>
      </w:r>
    </w:p>
    <w:p w14:paraId="00000057" w14:textId="77777777" w:rsidR="00F8066C" w:rsidRPr="004B7A9B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Google Sans"/>
          <w:color w:val="1F1F1F"/>
        </w:rPr>
      </w:pPr>
      <w:r w:rsidRPr="004B7A9B">
        <w:rPr>
          <w:rFonts w:eastAsia="Google Sans"/>
          <w:color w:val="1F1F1F"/>
        </w:rPr>
        <w:t xml:space="preserve">Este material de la </w:t>
      </w:r>
      <w:r w:rsidRPr="004B7A9B">
        <w:rPr>
          <w:rFonts w:eastAsia="Google Sans"/>
          <w:b/>
          <w:bCs/>
          <w:color w:val="1F1F1F"/>
        </w:rPr>
        <w:t>Unidad 01</w:t>
      </w:r>
      <w:r w:rsidRPr="004B7A9B">
        <w:rPr>
          <w:rFonts w:eastAsia="Google Sans"/>
          <w:color w:val="1F1F1F"/>
        </w:rPr>
        <w:t xml:space="preserve"> sirve como base documental para la construcción del </w:t>
      </w:r>
      <w:r w:rsidRPr="004B7A9B">
        <w:rPr>
          <w:rFonts w:eastAsia="Google Sans"/>
          <w:b/>
          <w:bCs/>
          <w:color w:val="1F1F1F"/>
        </w:rPr>
        <w:t>Anteproyecto de Grado</w:t>
      </w:r>
      <w:r w:rsidRPr="004B7A9B">
        <w:rPr>
          <w:rFonts w:eastAsia="Google Sans"/>
          <w:color w:val="1F1F1F"/>
        </w:rPr>
        <w:t>.</w:t>
      </w:r>
    </w:p>
    <w:p w14:paraId="00000058" w14:textId="77777777" w:rsidR="00F8066C" w:rsidRPr="004B7A9B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Google Sans"/>
          <w:b/>
          <w:bCs/>
          <w:color w:val="1F1F1F"/>
        </w:rPr>
      </w:pPr>
      <w:r w:rsidRPr="004B7A9B">
        <w:rPr>
          <w:rFonts w:eastAsia="Google Sans"/>
          <w:b/>
          <w:bCs/>
          <w:color w:val="1F1F1F"/>
        </w:rPr>
        <w:t>Actividades Sugeridas en el Aula Virtual:</w:t>
      </w:r>
    </w:p>
    <w:p w14:paraId="00000059" w14:textId="77777777" w:rsidR="00F8066C" w:rsidRPr="004B7A9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7A9B">
        <w:rPr>
          <w:rFonts w:eastAsia="Google Sans"/>
          <w:b/>
          <w:bCs/>
          <w:color w:val="1F1F1F"/>
        </w:rPr>
        <w:t>Taller de Mapeo:</w:t>
      </w:r>
      <w:r w:rsidRPr="004B7A9B">
        <w:rPr>
          <w:rFonts w:eastAsia="Google Sans"/>
          <w:color w:val="1F1F1F"/>
        </w:rPr>
        <w:t xml:space="preserve"> El estudiante debe diagramar un proceso administrativo actual de su organización usando la simbología BPMN básica.</w:t>
      </w:r>
    </w:p>
    <w:p w14:paraId="0000005A" w14:textId="77777777" w:rsidR="00F8066C" w:rsidRPr="004B7A9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7A9B">
        <w:rPr>
          <w:rFonts w:eastAsia="Google Sans"/>
          <w:b/>
          <w:bCs/>
          <w:color w:val="1F1F1F"/>
        </w:rPr>
        <w:t>Laboratorio de Priorización:</w:t>
      </w:r>
      <w:r w:rsidRPr="004B7A9B">
        <w:rPr>
          <w:rFonts w:eastAsia="Google Sans"/>
          <w:color w:val="1F1F1F"/>
        </w:rPr>
        <w:t xml:space="preserve"> Uso de una hoja de cálculo para calificar tres problemas identificados bajo los criterios de Alcance, Gravedad y Urgencia.</w:t>
      </w:r>
    </w:p>
    <w:p w14:paraId="0000005B" w14:textId="77777777" w:rsidR="00F8066C" w:rsidRPr="004B7A9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B7A9B">
        <w:rPr>
          <w:rFonts w:eastAsia="Google Sans"/>
          <w:b/>
          <w:bCs/>
          <w:color w:val="1F1F1F"/>
        </w:rPr>
        <w:t>Foro Normativo:</w:t>
      </w:r>
      <w:r w:rsidRPr="004B7A9B">
        <w:rPr>
          <w:rFonts w:eastAsia="Google Sans"/>
          <w:color w:val="1F1F1F"/>
        </w:rPr>
        <w:t xml:space="preserve"> Debate sobre las implicaciones del Decreto 1330 en el rigor de los trabajos de grado de especialización en Colombia.</w:t>
      </w:r>
    </w:p>
    <w:p w14:paraId="0000005C" w14:textId="77777777" w:rsidR="00F8066C" w:rsidRPr="004B7A9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55" w:line="275" w:lineRule="auto"/>
        <w:rPr>
          <w:rFonts w:eastAsia="Google Sans"/>
          <w:color w:val="1F1F1F"/>
        </w:rPr>
      </w:pPr>
      <w:r w:rsidRPr="004B7A9B">
        <w:rPr>
          <w:rFonts w:eastAsia="Google Sans"/>
          <w:color w:val="1F1F1F"/>
        </w:rPr>
        <w:t>Este diseño pedagógico asegura que el estudiante de la Universidad de Córdoba inicie su proyecto de intervención con un sustento teórico sólido, un método probado y una visión estratégica de alto nivel.</w:t>
      </w:r>
    </w:p>
    <w:p w14:paraId="0000005D" w14:textId="77777777" w:rsidR="00F8066C" w:rsidRPr="004B7A9B" w:rsidRDefault="00000000">
      <w:pPr>
        <w:pStyle w:val="Ttulo4"/>
        <w:spacing w:before="0"/>
        <w:rPr>
          <w:rFonts w:eastAsia="Google Sans"/>
          <w:sz w:val="22"/>
          <w:szCs w:val="22"/>
        </w:rPr>
      </w:pPr>
      <w:r w:rsidRPr="004B7A9B">
        <w:rPr>
          <w:rFonts w:eastAsia="Google Sans"/>
          <w:sz w:val="22"/>
          <w:szCs w:val="22"/>
        </w:rPr>
        <w:t>Fuentes citadas</w:t>
      </w:r>
    </w:p>
    <w:p w14:paraId="0000005E" w14:textId="77777777" w:rsidR="00F8066C" w:rsidRPr="004B7A9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4B7A9B">
        <w:rPr>
          <w:rFonts w:eastAsia="Google Sans"/>
        </w:rPr>
        <w:t xml:space="preserve">Especialización en Desarrollo Organizacional y Gestión del Talento Humano - CUN, acceso: abril 12, 2026, </w:t>
      </w:r>
      <w:hyperlink r:id="rId7">
        <w:r w:rsidR="00F8066C" w:rsidRPr="004B7A9B">
          <w:rPr>
            <w:rFonts w:eastAsia="Google Sans"/>
            <w:color w:val="0000EE"/>
            <w:u w:val="single"/>
          </w:rPr>
          <w:t>https://cun.edu.co/especializacion-desarrollo-organizacional-y-gestion-del-talento-humano/</w:t>
        </w:r>
      </w:hyperlink>
    </w:p>
    <w:p w14:paraId="0000005F" w14:textId="77777777" w:rsidR="00F8066C" w:rsidRPr="004B7A9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4B7A9B">
        <w:rPr>
          <w:rFonts w:eastAsia="Google Sans"/>
        </w:rPr>
        <w:t xml:space="preserve">Especialización en gerencia de talento humano en Montería - UCC, acceso: abril 12, 2026, </w:t>
      </w:r>
      <w:hyperlink r:id="rId8">
        <w:r w:rsidR="00F8066C" w:rsidRPr="004B7A9B">
          <w:rPr>
            <w:rFonts w:eastAsia="Google Sans"/>
            <w:color w:val="0000EE"/>
            <w:u w:val="single"/>
          </w:rPr>
          <w:t>https://ucc.edu.co/programas/posgrados/Paginas/monteria/especializacion-en-gerencia-del-talento-humano-monteria.aspx</w:t>
        </w:r>
      </w:hyperlink>
    </w:p>
    <w:sectPr w:rsidR="00F8066C" w:rsidRPr="004B7A9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DEB8B" w14:textId="77777777" w:rsidR="00D313DA" w:rsidRDefault="00D313DA" w:rsidP="009B5D08">
      <w:r>
        <w:separator/>
      </w:r>
    </w:p>
  </w:endnote>
  <w:endnote w:type="continuationSeparator" w:id="0">
    <w:p w14:paraId="0DEBF198" w14:textId="77777777" w:rsidR="00D313DA" w:rsidRDefault="00D313DA" w:rsidP="009B5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D40F19F-1923-4BFA-8169-6DB561C86C01}"/>
  </w:font>
  <w:font w:name="Google Sans">
    <w:charset w:val="00"/>
    <w:family w:val="auto"/>
    <w:pitch w:val="default"/>
    <w:embedRegular r:id="rId2" w:fontKey="{94953381-9CF7-41A5-9450-78DD8C5F1D24}"/>
    <w:embedBold r:id="rId3" w:fontKey="{3C0A2B89-9BFB-4F8A-B359-DFB7D0BA7696}"/>
    <w:embedItalic r:id="rId4" w:fontKey="{71E63159-E9E1-4A36-A3BD-F0FA59A51C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06156C8-270B-49CB-9A66-89A136E85C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95C5222-5155-467B-9B46-AA92D758B2A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BFB69" w14:textId="77777777" w:rsidR="00D313DA" w:rsidRDefault="00D313DA" w:rsidP="009B5D08">
      <w:r>
        <w:separator/>
      </w:r>
    </w:p>
  </w:footnote>
  <w:footnote w:type="continuationSeparator" w:id="0">
    <w:p w14:paraId="1D120D90" w14:textId="77777777" w:rsidR="00D313DA" w:rsidRDefault="00D313DA" w:rsidP="009B5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D635296"/>
    <w:multiLevelType w:val="multilevel"/>
    <w:tmpl w:val="F198DA0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2E2A23"/>
    <w:multiLevelType w:val="multilevel"/>
    <w:tmpl w:val="9AF89BC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F9C035D"/>
    <w:multiLevelType w:val="multilevel"/>
    <w:tmpl w:val="6D66660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0F0FB3"/>
    <w:multiLevelType w:val="multilevel"/>
    <w:tmpl w:val="D9D2F34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8B46DCC"/>
    <w:multiLevelType w:val="multilevel"/>
    <w:tmpl w:val="B0BCB7A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BEA2414"/>
    <w:multiLevelType w:val="multilevel"/>
    <w:tmpl w:val="A6DA9A0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1BB3F05"/>
    <w:multiLevelType w:val="multilevel"/>
    <w:tmpl w:val="A4E6B07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24B15BD"/>
    <w:multiLevelType w:val="multilevel"/>
    <w:tmpl w:val="4F0AA96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4710DF5"/>
    <w:multiLevelType w:val="multilevel"/>
    <w:tmpl w:val="4E04716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5E72E3F"/>
    <w:multiLevelType w:val="multilevel"/>
    <w:tmpl w:val="E66AEBB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8D34FFF"/>
    <w:multiLevelType w:val="multilevel"/>
    <w:tmpl w:val="7D4A058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CB1352F"/>
    <w:multiLevelType w:val="multilevel"/>
    <w:tmpl w:val="226A8F0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D694C57"/>
    <w:multiLevelType w:val="multilevel"/>
    <w:tmpl w:val="F1D646A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BD51E67"/>
    <w:multiLevelType w:val="multilevel"/>
    <w:tmpl w:val="2A160D1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C7C2F9D"/>
    <w:multiLevelType w:val="multilevel"/>
    <w:tmpl w:val="B960229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DE710E7"/>
    <w:multiLevelType w:val="multilevel"/>
    <w:tmpl w:val="3098BCF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14B0909"/>
    <w:multiLevelType w:val="multilevel"/>
    <w:tmpl w:val="9E721AB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AC102F3"/>
    <w:multiLevelType w:val="multilevel"/>
    <w:tmpl w:val="9BAEE42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CA52500"/>
    <w:multiLevelType w:val="multilevel"/>
    <w:tmpl w:val="443864D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71861846">
    <w:abstractNumId w:val="4"/>
  </w:num>
  <w:num w:numId="2" w16cid:durableId="1529101550">
    <w:abstractNumId w:val="6"/>
  </w:num>
  <w:num w:numId="3" w16cid:durableId="660038722">
    <w:abstractNumId w:val="0"/>
  </w:num>
  <w:num w:numId="4" w16cid:durableId="1579633802">
    <w:abstractNumId w:val="18"/>
  </w:num>
  <w:num w:numId="5" w16cid:durableId="432746204">
    <w:abstractNumId w:val="13"/>
  </w:num>
  <w:num w:numId="6" w16cid:durableId="816267592">
    <w:abstractNumId w:val="2"/>
  </w:num>
  <w:num w:numId="7" w16cid:durableId="964576816">
    <w:abstractNumId w:val="8"/>
  </w:num>
  <w:num w:numId="8" w16cid:durableId="999844031">
    <w:abstractNumId w:val="10"/>
  </w:num>
  <w:num w:numId="9" w16cid:durableId="901908513">
    <w:abstractNumId w:val="9"/>
  </w:num>
  <w:num w:numId="10" w16cid:durableId="870455200">
    <w:abstractNumId w:val="17"/>
  </w:num>
  <w:num w:numId="11" w16cid:durableId="1110007940">
    <w:abstractNumId w:val="3"/>
  </w:num>
  <w:num w:numId="12" w16cid:durableId="1308318504">
    <w:abstractNumId w:val="14"/>
  </w:num>
  <w:num w:numId="13" w16cid:durableId="486748149">
    <w:abstractNumId w:val="15"/>
  </w:num>
  <w:num w:numId="14" w16cid:durableId="1052802969">
    <w:abstractNumId w:val="11"/>
  </w:num>
  <w:num w:numId="15" w16cid:durableId="211111795">
    <w:abstractNumId w:val="7"/>
  </w:num>
  <w:num w:numId="16" w16cid:durableId="976489064">
    <w:abstractNumId w:val="12"/>
  </w:num>
  <w:num w:numId="17" w16cid:durableId="8801896">
    <w:abstractNumId w:val="16"/>
  </w:num>
  <w:num w:numId="18" w16cid:durableId="1323314514">
    <w:abstractNumId w:val="5"/>
  </w:num>
  <w:num w:numId="19" w16cid:durableId="762216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6C"/>
    <w:rsid w:val="004B7A9B"/>
    <w:rsid w:val="005B25E0"/>
    <w:rsid w:val="009B5D08"/>
    <w:rsid w:val="00A5286B"/>
    <w:rsid w:val="00D313DA"/>
    <w:rsid w:val="00F8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AD10B"/>
  <w15:docId w15:val="{CF34BB43-806D-4CE5-A8E3-69ACBB91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9B5D0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5D08"/>
  </w:style>
  <w:style w:type="paragraph" w:styleId="Piedepgina">
    <w:name w:val="footer"/>
    <w:basedOn w:val="Normal"/>
    <w:link w:val="PiedepginaCar"/>
    <w:uiPriority w:val="99"/>
    <w:unhideWhenUsed/>
    <w:rsid w:val="009B5D0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5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cc.edu.co/programas/posgrados/Paginas/monteria/especializacion-en-gerencia-del-talento-humano-monteria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un.edu.co/especializacion-desarrollo-organizacional-y-gestion-del-talento-human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721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Maria Trochez Arboleda</dc:creator>
  <cp:lastModifiedBy>Cristina Isabel Madera Gomez</cp:lastModifiedBy>
  <cp:revision>4</cp:revision>
  <dcterms:created xsi:type="dcterms:W3CDTF">2026-06-19T15:27:00Z</dcterms:created>
  <dcterms:modified xsi:type="dcterms:W3CDTF">2026-06-19T18:47:00Z</dcterms:modified>
</cp:coreProperties>
</file>