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1821" w14:textId="77777777" w:rsidR="00B16E89" w:rsidRDefault="00B16E89" w:rsidP="00B16E89"/>
    <w:p w14:paraId="5A555441" w14:textId="4BE74A8A" w:rsidR="00B16E89" w:rsidRDefault="00B16E89" w:rsidP="00B16E89">
      <w:r>
        <w:t>Tema 4: Ciudadanía Empresarial: Un rol más amplio en la sociedad</w:t>
      </w:r>
    </w:p>
    <w:p w14:paraId="65191ECD" w14:textId="77777777" w:rsidR="00B16E89" w:rsidRDefault="00B16E89" w:rsidP="00B16E89"/>
    <w:p w14:paraId="43401B27" w14:textId="77777777" w:rsidR="00B16E89" w:rsidRPr="00B16E89" w:rsidRDefault="00B16E89" w:rsidP="00B16E89"/>
    <w:p w14:paraId="00000038" w14:textId="77777777" w:rsidR="00560BA1" w:rsidRDefault="00000000">
      <w:pPr>
        <w:pBdr>
          <w:top w:val="nil"/>
          <w:left w:val="nil"/>
          <w:bottom w:val="nil"/>
          <w:right w:val="nil"/>
          <w:between w:val="nil"/>
        </w:pBdr>
        <w:spacing w:after="150" w:line="275" w:lineRule="auto"/>
        <w:rPr>
          <w:b/>
          <w:bCs/>
          <w:color w:val="1F1F1F"/>
        </w:rPr>
      </w:pPr>
      <w:r>
        <w:rPr>
          <w:b/>
          <w:bCs/>
          <w:color w:val="1F1F1F"/>
        </w:rPr>
        <w:t>Introducción:</w:t>
      </w:r>
    </w:p>
    <w:p w14:paraId="00000039" w14:textId="77777777" w:rsidR="00560BA1" w:rsidRDefault="00000000">
      <w:pPr>
        <w:pBdr>
          <w:top w:val="nil"/>
          <w:left w:val="nil"/>
          <w:bottom w:val="nil"/>
          <w:right w:val="nil"/>
          <w:between w:val="nil"/>
        </w:pBdr>
        <w:spacing w:after="150" w:line="275" w:lineRule="auto"/>
        <w:rPr>
          <w:color w:val="1F1F1F"/>
        </w:rPr>
      </w:pPr>
      <w:r>
        <w:rPr>
          <w:color w:val="1F1F1F"/>
        </w:rPr>
        <w:t>La Ciudadanía Empresarial es una metáfora poderosa que entiende a la empresa como un miembro con plenos derechos y deberes dentro de una sociedad democrática. Este subtema explora el modelo de la "Empresa Ciudadana", que opta por una aproximación comunitarista donde la participación en el debate público y la búsqueda del bien común son claves. El especialista comprenderá que su papel trasciende los límites físicos de la oficina para impactar en el territorio, especialmente en las pymes, donde la vinculación local es vital para la justicia socioambiental.</w:t>
      </w:r>
    </w:p>
    <w:p w14:paraId="0000003A" w14:textId="77777777" w:rsidR="00560BA1" w:rsidRDefault="00000000">
      <w:pPr>
        <w:pBdr>
          <w:top w:val="nil"/>
          <w:left w:val="nil"/>
          <w:bottom w:val="nil"/>
          <w:right w:val="nil"/>
          <w:between w:val="nil"/>
        </w:pBdr>
        <w:spacing w:after="150" w:line="275" w:lineRule="auto"/>
        <w:rPr>
          <w:b/>
          <w:bCs/>
          <w:color w:val="1F1F1F"/>
        </w:rPr>
      </w:pPr>
      <w:r>
        <w:rPr>
          <w:b/>
          <w:bCs/>
          <w:color w:val="1F1F1F"/>
        </w:rPr>
        <w:t>Objetivos de Aprendizaje:</w:t>
      </w:r>
    </w:p>
    <w:p w14:paraId="0000003B" w14:textId="77777777" w:rsidR="00560BA1" w:rsidRDefault="00000000">
      <w:pPr>
        <w:numPr>
          <w:ilvl w:val="0"/>
          <w:numId w:val="14"/>
        </w:numPr>
        <w:pBdr>
          <w:top w:val="nil"/>
          <w:left w:val="nil"/>
          <w:bottom w:val="nil"/>
          <w:right w:val="nil"/>
          <w:between w:val="nil"/>
        </w:pBdr>
        <w:spacing w:line="275" w:lineRule="auto"/>
      </w:pPr>
      <w:r>
        <w:rPr>
          <w:color w:val="1F1F1F"/>
        </w:rPr>
        <w:t>Analizar las cuatro dimensiones de la ciudadanía corporativa: económica, legal, ética y discrecional.</w:t>
      </w:r>
    </w:p>
    <w:p w14:paraId="0000003C" w14:textId="77777777" w:rsidR="00560BA1" w:rsidRDefault="00000000">
      <w:pPr>
        <w:numPr>
          <w:ilvl w:val="0"/>
          <w:numId w:val="14"/>
        </w:numPr>
        <w:pBdr>
          <w:top w:val="nil"/>
          <w:left w:val="nil"/>
          <w:bottom w:val="nil"/>
          <w:right w:val="nil"/>
          <w:between w:val="nil"/>
        </w:pBdr>
        <w:spacing w:line="275" w:lineRule="auto"/>
      </w:pPr>
      <w:r>
        <w:rPr>
          <w:color w:val="1F1F1F"/>
        </w:rPr>
        <w:t>Desarrollar competencias para que la empresa actúe como un actor político responsable en la búsqueda del bien común y la justicia distributiva.</w:t>
      </w:r>
    </w:p>
    <w:p w14:paraId="0000003D" w14:textId="77777777" w:rsidR="00560BA1" w:rsidRDefault="00000000">
      <w:pPr>
        <w:numPr>
          <w:ilvl w:val="0"/>
          <w:numId w:val="14"/>
        </w:numPr>
        <w:pBdr>
          <w:top w:val="nil"/>
          <w:left w:val="nil"/>
          <w:bottom w:val="nil"/>
          <w:right w:val="nil"/>
          <w:between w:val="nil"/>
        </w:pBdr>
        <w:spacing w:after="120" w:line="275" w:lineRule="auto"/>
      </w:pPr>
      <w:r>
        <w:rPr>
          <w:color w:val="1F1F1F"/>
        </w:rPr>
        <w:t>Diseñar estrategias de participación ciudadana empresarial que fortalezcan la identidad institucional y el desarrollo del municipio o región.</w:t>
      </w:r>
    </w:p>
    <w:p w14:paraId="0000003E" w14:textId="77777777" w:rsidR="00560BA1" w:rsidRDefault="00000000">
      <w:pPr>
        <w:pBdr>
          <w:top w:val="nil"/>
          <w:left w:val="nil"/>
          <w:bottom w:val="nil"/>
          <w:right w:val="nil"/>
          <w:between w:val="nil"/>
        </w:pBdr>
        <w:spacing w:before="240" w:after="150" w:line="275" w:lineRule="auto"/>
        <w:rPr>
          <w:b/>
          <w:bCs/>
          <w:color w:val="1F1F1F"/>
        </w:rPr>
      </w:pPr>
      <w:r>
        <w:rPr>
          <w:b/>
          <w:bCs/>
          <w:color w:val="1F1F1F"/>
        </w:rPr>
        <w:t>Contenido:</w:t>
      </w:r>
    </w:p>
    <w:p w14:paraId="0000003F" w14:textId="77777777" w:rsidR="00560BA1" w:rsidRDefault="00000000">
      <w:pPr>
        <w:numPr>
          <w:ilvl w:val="0"/>
          <w:numId w:val="15"/>
        </w:numPr>
        <w:pBdr>
          <w:top w:val="nil"/>
          <w:left w:val="nil"/>
          <w:bottom w:val="nil"/>
          <w:right w:val="nil"/>
          <w:between w:val="nil"/>
        </w:pBdr>
        <w:spacing w:line="275" w:lineRule="auto"/>
      </w:pPr>
      <w:r>
        <w:rPr>
          <w:b/>
          <w:bCs/>
          <w:color w:val="1F1F1F"/>
        </w:rPr>
        <w:t>Parte 1: Las Dimensiones de la Ciudadanía Corporativa:</w:t>
      </w:r>
      <w:r>
        <w:rPr>
          <w:color w:val="1F1F1F"/>
        </w:rPr>
        <w:t xml:space="preserve"> El modelo propuesto por Lin et al. establece que la ciudadanía se manifiesta en cuatro niveles:</w:t>
      </w:r>
    </w:p>
    <w:p w14:paraId="00000040" w14:textId="77777777" w:rsidR="00560BA1" w:rsidRDefault="00000000">
      <w:pPr>
        <w:numPr>
          <w:ilvl w:val="1"/>
          <w:numId w:val="16"/>
        </w:numPr>
        <w:pBdr>
          <w:top w:val="nil"/>
          <w:left w:val="nil"/>
          <w:bottom w:val="nil"/>
          <w:right w:val="nil"/>
          <w:between w:val="nil"/>
        </w:pBdr>
        <w:spacing w:line="275" w:lineRule="auto"/>
      </w:pPr>
      <w:r>
        <w:rPr>
          <w:b/>
          <w:bCs/>
          <w:color w:val="1F1F1F"/>
        </w:rPr>
        <w:t>Ciudadanía Económica:</w:t>
      </w:r>
      <w:r>
        <w:rPr>
          <w:color w:val="1F1F1F"/>
        </w:rPr>
        <w:t xml:space="preserve"> Obligación de aportar beneficios utilitarios a los grupos de interés.</w:t>
      </w:r>
    </w:p>
    <w:p w14:paraId="00000041" w14:textId="77777777" w:rsidR="00560BA1" w:rsidRDefault="00000000">
      <w:pPr>
        <w:numPr>
          <w:ilvl w:val="1"/>
          <w:numId w:val="16"/>
        </w:numPr>
        <w:pBdr>
          <w:top w:val="nil"/>
          <w:left w:val="nil"/>
          <w:bottom w:val="nil"/>
          <w:right w:val="nil"/>
          <w:between w:val="nil"/>
        </w:pBdr>
        <w:spacing w:line="275" w:lineRule="auto"/>
      </w:pPr>
      <w:r>
        <w:rPr>
          <w:b/>
          <w:bCs/>
          <w:color w:val="1F1F1F"/>
        </w:rPr>
        <w:t>Ciudadanía Legal:</w:t>
      </w:r>
      <w:r>
        <w:rPr>
          <w:color w:val="1F1F1F"/>
        </w:rPr>
        <w:t xml:space="preserve"> Obligación de cumplir la misión dentro del marco jurídico.</w:t>
      </w:r>
    </w:p>
    <w:p w14:paraId="00000042" w14:textId="77777777" w:rsidR="00560BA1" w:rsidRDefault="00000000">
      <w:pPr>
        <w:numPr>
          <w:ilvl w:val="1"/>
          <w:numId w:val="16"/>
        </w:numPr>
        <w:pBdr>
          <w:top w:val="nil"/>
          <w:left w:val="nil"/>
          <w:bottom w:val="nil"/>
          <w:right w:val="nil"/>
          <w:between w:val="nil"/>
        </w:pBdr>
        <w:spacing w:line="275" w:lineRule="auto"/>
      </w:pPr>
      <w:r>
        <w:rPr>
          <w:b/>
          <w:bCs/>
          <w:color w:val="1F1F1F"/>
        </w:rPr>
        <w:t>Ciudadanía Ética:</w:t>
      </w:r>
      <w:r>
        <w:rPr>
          <w:color w:val="1F1F1F"/>
        </w:rPr>
        <w:t xml:space="preserve"> Comportamiento justo que va más allá de lo legal.</w:t>
      </w:r>
    </w:p>
    <w:p w14:paraId="00000043" w14:textId="77777777" w:rsidR="00560BA1" w:rsidRDefault="00000000">
      <w:pPr>
        <w:numPr>
          <w:ilvl w:val="1"/>
          <w:numId w:val="16"/>
        </w:numPr>
        <w:pBdr>
          <w:top w:val="nil"/>
          <w:left w:val="nil"/>
          <w:bottom w:val="nil"/>
          <w:right w:val="nil"/>
          <w:between w:val="nil"/>
        </w:pBdr>
        <w:spacing w:line="275" w:lineRule="auto"/>
      </w:pPr>
      <w:r>
        <w:rPr>
          <w:b/>
          <w:bCs/>
          <w:color w:val="1F1F1F"/>
        </w:rPr>
        <w:t>Ciudadanía Discrecional:</w:t>
      </w:r>
      <w:r>
        <w:rPr>
          <w:color w:val="1F1F1F"/>
        </w:rPr>
        <w:t xml:space="preserve"> Decisión autónoma de realizar actividades no obligatorias para mejorar la sociedad (filantropía estratégica).</w:t>
      </w:r>
      <w:r>
        <w:rPr>
          <w:color w:val="000000"/>
        </w:rPr>
        <w:br/>
      </w:r>
      <w:r>
        <w:rPr>
          <w:color w:val="1F1F1F"/>
        </w:rPr>
        <w:t>Para el especialista, integrar estas dimensiones mejora el comportamiento de ciudadanía organizacional (CCO) de sus empleados, generando mayor compromiso y lealtad.</w:t>
      </w:r>
    </w:p>
    <w:p w14:paraId="00000044" w14:textId="77777777" w:rsidR="00560BA1" w:rsidRDefault="00000000">
      <w:pPr>
        <w:numPr>
          <w:ilvl w:val="0"/>
          <w:numId w:val="15"/>
        </w:numPr>
        <w:pBdr>
          <w:top w:val="nil"/>
          <w:left w:val="nil"/>
          <w:bottom w:val="nil"/>
          <w:right w:val="nil"/>
          <w:between w:val="nil"/>
        </w:pBdr>
        <w:spacing w:line="275" w:lineRule="auto"/>
      </w:pPr>
      <w:r>
        <w:rPr>
          <w:b/>
          <w:bCs/>
          <w:color w:val="1F1F1F"/>
        </w:rPr>
        <w:t>Parte 2: La Empresa como Actor en una Sociedad Democrática:</w:t>
      </w:r>
      <w:r>
        <w:rPr>
          <w:color w:val="1F1F1F"/>
        </w:rPr>
        <w:t xml:space="preserve"> Desde la aproximación comunitarista, la ciudadanía empresarial emana de su pertenencia a una sociedad democrática de iguales. Esto implica que la empresa debe participar activamente en el debate público sobre lo común para comprender mejor las necesidades de su entorno y aportar desde su potencial y capacidad. Una empresa orientada éticamente encarna "virtudes cívicas" como la solidaridad, el diálogo y la honestidad. No se trata solo de cumplir la ley, sino de </w:t>
      </w:r>
      <w:proofErr w:type="spellStart"/>
      <w:r>
        <w:rPr>
          <w:color w:val="1F1F1F"/>
        </w:rPr>
        <w:t>co-construir</w:t>
      </w:r>
      <w:proofErr w:type="spellEnd"/>
      <w:r>
        <w:rPr>
          <w:color w:val="1F1F1F"/>
        </w:rPr>
        <w:t xml:space="preserve"> mejores condiciones de justicia ambiental y social junto con el resto de </w:t>
      </w:r>
      <w:proofErr w:type="gramStart"/>
      <w:r>
        <w:rPr>
          <w:color w:val="1F1F1F"/>
        </w:rPr>
        <w:t>agentes</w:t>
      </w:r>
      <w:proofErr w:type="gramEnd"/>
      <w:r>
        <w:rPr>
          <w:color w:val="1F1F1F"/>
        </w:rPr>
        <w:t xml:space="preserve"> sociales.</w:t>
      </w:r>
    </w:p>
    <w:p w14:paraId="00000045" w14:textId="77777777" w:rsidR="00560BA1" w:rsidRDefault="00000000">
      <w:pPr>
        <w:numPr>
          <w:ilvl w:val="0"/>
          <w:numId w:val="15"/>
        </w:numPr>
        <w:pBdr>
          <w:top w:val="nil"/>
          <w:left w:val="nil"/>
          <w:bottom w:val="nil"/>
          <w:right w:val="nil"/>
          <w:between w:val="nil"/>
        </w:pBdr>
        <w:spacing w:after="120" w:line="275" w:lineRule="auto"/>
      </w:pPr>
      <w:r>
        <w:rPr>
          <w:b/>
          <w:bCs/>
          <w:color w:val="1F1F1F"/>
        </w:rPr>
        <w:t>Parte 3: Ciudadanía en Pymes y Desarrollo Territorial:</w:t>
      </w:r>
      <w:r>
        <w:rPr>
          <w:color w:val="1F1F1F"/>
        </w:rPr>
        <w:t xml:space="preserve"> A menudo se piensa que la ciudadanía es exclusiva de las grandes corporaciones, pero el modelo de empresa ciudadana es vital para las pymes. Aunque una pyme no pueda hacer grandes </w:t>
      </w:r>
      <w:r>
        <w:rPr>
          <w:color w:val="1F1F1F"/>
        </w:rPr>
        <w:lastRenderedPageBreak/>
        <w:t>donaciones, sí puede vincularse estrechamente con su territorio a través de planes de igualdad, proyectos culturales en su municipio o el replanteamiento de líneas productivas para dar respuesta a crisis locales (como ocurrió en la pandemia). El especialista debe analizar críticamente las estrategias de crecimiento para evitar el "yugo de la rentabilidad" que impide razonar éticamente, priorizando el trabajo en red y la calidad humana como elementos diferenciadores.</w:t>
      </w:r>
    </w:p>
    <w:p w14:paraId="00000046" w14:textId="77777777" w:rsidR="00560BA1" w:rsidRDefault="00000000">
      <w:pPr>
        <w:pBdr>
          <w:top w:val="nil"/>
          <w:left w:val="nil"/>
          <w:bottom w:val="nil"/>
          <w:right w:val="nil"/>
          <w:between w:val="nil"/>
        </w:pBdr>
        <w:spacing w:before="240" w:after="150" w:line="275" w:lineRule="auto"/>
        <w:rPr>
          <w:b/>
          <w:bCs/>
          <w:color w:val="1F1F1F"/>
        </w:rPr>
      </w:pPr>
      <w:r>
        <w:rPr>
          <w:b/>
          <w:bCs/>
          <w:color w:val="1F1F1F"/>
        </w:rPr>
        <w:t>Referencias para ampliación:</w:t>
      </w:r>
    </w:p>
    <w:p w14:paraId="00000047" w14:textId="77777777" w:rsidR="00560BA1" w:rsidRDefault="00000000">
      <w:pPr>
        <w:numPr>
          <w:ilvl w:val="0"/>
          <w:numId w:val="17"/>
        </w:numPr>
        <w:pBdr>
          <w:top w:val="nil"/>
          <w:left w:val="nil"/>
          <w:bottom w:val="nil"/>
          <w:right w:val="nil"/>
          <w:between w:val="nil"/>
        </w:pBdr>
        <w:spacing w:line="275" w:lineRule="auto"/>
      </w:pPr>
      <w:r>
        <w:rPr>
          <w:color w:val="1F1F1F"/>
        </w:rPr>
        <w:t xml:space="preserve">Chieh-Peng Lin, et al. (2010). </w:t>
      </w:r>
      <w:proofErr w:type="spellStart"/>
      <w:r>
        <w:rPr>
          <w:i/>
          <w:iCs/>
          <w:color w:val="1F1F1F"/>
        </w:rPr>
        <w:t>Corporate</w:t>
      </w:r>
      <w:proofErr w:type="spellEnd"/>
      <w:r>
        <w:rPr>
          <w:i/>
          <w:iCs/>
          <w:color w:val="1F1F1F"/>
        </w:rPr>
        <w:t xml:space="preserve"> </w:t>
      </w:r>
      <w:proofErr w:type="spellStart"/>
      <w:r>
        <w:rPr>
          <w:i/>
          <w:iCs/>
          <w:color w:val="1F1F1F"/>
        </w:rPr>
        <w:t>Citizenship</w:t>
      </w:r>
      <w:proofErr w:type="spellEnd"/>
      <w:r>
        <w:rPr>
          <w:i/>
          <w:iCs/>
          <w:color w:val="1F1F1F"/>
        </w:rPr>
        <w:t xml:space="preserve"> and </w:t>
      </w:r>
      <w:proofErr w:type="spellStart"/>
      <w:r>
        <w:rPr>
          <w:i/>
          <w:iCs/>
          <w:color w:val="1F1F1F"/>
        </w:rPr>
        <w:t>Organizational</w:t>
      </w:r>
      <w:proofErr w:type="spellEnd"/>
      <w:r>
        <w:rPr>
          <w:i/>
          <w:iCs/>
          <w:color w:val="1F1F1F"/>
        </w:rPr>
        <w:t xml:space="preserve"> </w:t>
      </w:r>
      <w:proofErr w:type="spellStart"/>
      <w:r>
        <w:rPr>
          <w:i/>
          <w:iCs/>
          <w:color w:val="1F1F1F"/>
        </w:rPr>
        <w:t>Results</w:t>
      </w:r>
      <w:proofErr w:type="spellEnd"/>
      <w:r>
        <w:rPr>
          <w:color w:val="1F1F1F"/>
        </w:rPr>
        <w:t>.</w:t>
      </w:r>
    </w:p>
    <w:p w14:paraId="00000048" w14:textId="77777777" w:rsidR="00560BA1" w:rsidRDefault="00000000">
      <w:pPr>
        <w:numPr>
          <w:ilvl w:val="0"/>
          <w:numId w:val="17"/>
        </w:numPr>
        <w:pBdr>
          <w:top w:val="nil"/>
          <w:left w:val="nil"/>
          <w:bottom w:val="nil"/>
          <w:right w:val="nil"/>
          <w:between w:val="nil"/>
        </w:pBdr>
        <w:spacing w:line="275" w:lineRule="auto"/>
      </w:pPr>
      <w:r>
        <w:rPr>
          <w:color w:val="1F1F1F"/>
        </w:rPr>
        <w:t xml:space="preserve">Centro de Ética Aplicada (CEA). (2025). </w:t>
      </w:r>
      <w:r>
        <w:rPr>
          <w:i/>
          <w:iCs/>
          <w:color w:val="1F1F1F"/>
        </w:rPr>
        <w:t>Marco de reflexión para la empresa ciudadana</w:t>
      </w:r>
      <w:r>
        <w:rPr>
          <w:color w:val="1F1F1F"/>
        </w:rPr>
        <w:t>.</w:t>
      </w:r>
    </w:p>
    <w:p w14:paraId="00000049" w14:textId="77777777" w:rsidR="00560BA1" w:rsidRDefault="00000000">
      <w:pPr>
        <w:numPr>
          <w:ilvl w:val="0"/>
          <w:numId w:val="17"/>
        </w:numPr>
        <w:pBdr>
          <w:top w:val="nil"/>
          <w:left w:val="nil"/>
          <w:bottom w:val="nil"/>
          <w:right w:val="nil"/>
          <w:between w:val="nil"/>
        </w:pBdr>
        <w:spacing w:line="275" w:lineRule="auto"/>
      </w:pPr>
      <w:r>
        <w:rPr>
          <w:color w:val="1F1F1F"/>
        </w:rPr>
        <w:t xml:space="preserve">ALBOAN. (2025). </w:t>
      </w:r>
      <w:r>
        <w:rPr>
          <w:i/>
          <w:iCs/>
          <w:color w:val="1F1F1F"/>
        </w:rPr>
        <w:t>Anatomía de la Empresa Ciudadana: Justicia socioambiental y Bien Común</w:t>
      </w:r>
      <w:r>
        <w:rPr>
          <w:color w:val="1F1F1F"/>
        </w:rPr>
        <w:t>.</w:t>
      </w:r>
    </w:p>
    <w:p w14:paraId="0000004A" w14:textId="1574A242" w:rsidR="00B16E89" w:rsidRDefault="00000000" w:rsidP="00B16E89">
      <w:pPr>
        <w:numPr>
          <w:ilvl w:val="0"/>
          <w:numId w:val="17"/>
        </w:numPr>
        <w:pBdr>
          <w:top w:val="nil"/>
          <w:left w:val="nil"/>
          <w:bottom w:val="nil"/>
          <w:right w:val="nil"/>
          <w:between w:val="nil"/>
        </w:pBdr>
        <w:spacing w:after="120" w:line="275" w:lineRule="auto"/>
        <w:rPr>
          <w:color w:val="1F1F1F"/>
        </w:rPr>
      </w:pPr>
      <w:r>
        <w:rPr>
          <w:color w:val="1F1F1F"/>
        </w:rPr>
        <w:t xml:space="preserve">Jain, A., &amp; Rizvi, I. A. (2020). </w:t>
      </w:r>
      <w:r>
        <w:rPr>
          <w:i/>
          <w:iCs/>
          <w:color w:val="1F1F1F"/>
        </w:rPr>
        <w:t xml:space="preserve">The </w:t>
      </w:r>
      <w:proofErr w:type="spellStart"/>
      <w:r>
        <w:rPr>
          <w:i/>
          <w:iCs/>
          <w:color w:val="1F1F1F"/>
        </w:rPr>
        <w:t>Relationship</w:t>
      </w:r>
      <w:proofErr w:type="spellEnd"/>
      <w:r>
        <w:rPr>
          <w:i/>
          <w:iCs/>
          <w:color w:val="1F1F1F"/>
        </w:rPr>
        <w:t xml:space="preserve"> </w:t>
      </w:r>
      <w:proofErr w:type="spellStart"/>
      <w:r>
        <w:rPr>
          <w:i/>
          <w:iCs/>
          <w:color w:val="1F1F1F"/>
        </w:rPr>
        <w:t>between</w:t>
      </w:r>
      <w:proofErr w:type="spellEnd"/>
      <w:r>
        <w:rPr>
          <w:i/>
          <w:iCs/>
          <w:color w:val="1F1F1F"/>
        </w:rPr>
        <w:t xml:space="preserve"> </w:t>
      </w:r>
      <w:proofErr w:type="spellStart"/>
      <w:r>
        <w:rPr>
          <w:i/>
          <w:iCs/>
          <w:color w:val="1F1F1F"/>
        </w:rPr>
        <w:t>Corporate</w:t>
      </w:r>
      <w:proofErr w:type="spellEnd"/>
      <w:r>
        <w:rPr>
          <w:i/>
          <w:iCs/>
          <w:color w:val="1F1F1F"/>
        </w:rPr>
        <w:t xml:space="preserve"> </w:t>
      </w:r>
      <w:proofErr w:type="spellStart"/>
      <w:r>
        <w:rPr>
          <w:i/>
          <w:iCs/>
          <w:color w:val="1F1F1F"/>
        </w:rPr>
        <w:t>Citizenship</w:t>
      </w:r>
      <w:proofErr w:type="spellEnd"/>
      <w:r>
        <w:rPr>
          <w:i/>
          <w:iCs/>
          <w:color w:val="1F1F1F"/>
        </w:rPr>
        <w:t xml:space="preserve"> and </w:t>
      </w:r>
      <w:proofErr w:type="spellStart"/>
      <w:r>
        <w:rPr>
          <w:i/>
          <w:iCs/>
          <w:color w:val="1F1F1F"/>
        </w:rPr>
        <w:t>Organizational</w:t>
      </w:r>
      <w:proofErr w:type="spellEnd"/>
      <w:r>
        <w:rPr>
          <w:i/>
          <w:iCs/>
          <w:color w:val="1F1F1F"/>
        </w:rPr>
        <w:t xml:space="preserve"> </w:t>
      </w:r>
      <w:proofErr w:type="spellStart"/>
      <w:r>
        <w:rPr>
          <w:i/>
          <w:iCs/>
          <w:color w:val="1F1F1F"/>
        </w:rPr>
        <w:t>Citizenship</w:t>
      </w:r>
      <w:proofErr w:type="spellEnd"/>
      <w:r>
        <w:rPr>
          <w:i/>
          <w:iCs/>
          <w:color w:val="1F1F1F"/>
        </w:rPr>
        <w:t xml:space="preserve"> </w:t>
      </w:r>
      <w:proofErr w:type="spellStart"/>
      <w:r>
        <w:rPr>
          <w:i/>
          <w:iCs/>
          <w:color w:val="1F1F1F"/>
        </w:rPr>
        <w:t>Behavior</w:t>
      </w:r>
      <w:proofErr w:type="spellEnd"/>
      <w:r>
        <w:rPr>
          <w:color w:val="1F1F1F"/>
        </w:rPr>
        <w:t>.</w:t>
      </w:r>
    </w:p>
    <w:p w14:paraId="0000005A" w14:textId="368186E3" w:rsidR="00560BA1" w:rsidRDefault="00560BA1" w:rsidP="00B16E89">
      <w:pPr>
        <w:pBdr>
          <w:top w:val="nil"/>
          <w:left w:val="nil"/>
          <w:bottom w:val="nil"/>
          <w:right w:val="nil"/>
          <w:between w:val="nil"/>
        </w:pBdr>
        <w:spacing w:after="120" w:line="275" w:lineRule="auto"/>
        <w:ind w:left="210"/>
      </w:pPr>
    </w:p>
    <w:p w14:paraId="0000005B" w14:textId="77777777" w:rsidR="00560BA1" w:rsidRDefault="00000000">
      <w:pPr>
        <w:pStyle w:val="Ttulo2"/>
        <w:spacing w:before="120" w:after="120" w:line="275" w:lineRule="auto"/>
        <w:rPr>
          <w:color w:val="1F1F1F"/>
        </w:rPr>
      </w:pPr>
      <w:r>
        <w:pict w14:anchorId="600C0335">
          <v:rect id="_x0000_i1028" style="width:0;height:1.5pt" o:hralign="center" o:hrstd="t" o:hr="t" fillcolor="#a0a0a0" stroked="f"/>
        </w:pict>
      </w:r>
      <w:r>
        <w:rPr>
          <w:color w:val="1F1F1F"/>
        </w:rPr>
        <w:t xml:space="preserve">Integración con Google </w:t>
      </w:r>
      <w:proofErr w:type="spellStart"/>
      <w:r>
        <w:rPr>
          <w:color w:val="1F1F1F"/>
        </w:rPr>
        <w:t>Docs</w:t>
      </w:r>
      <w:proofErr w:type="spellEnd"/>
      <w:r>
        <w:rPr>
          <w:color w:val="1F1F1F"/>
        </w:rPr>
        <w:t xml:space="preserve"> y Portafolio de Ética</w:t>
      </w:r>
    </w:p>
    <w:p w14:paraId="0000005C" w14:textId="77777777" w:rsidR="00560BA1" w:rsidRDefault="00000000">
      <w:pPr>
        <w:pBdr>
          <w:top w:val="nil"/>
          <w:left w:val="nil"/>
          <w:bottom w:val="nil"/>
          <w:right w:val="nil"/>
          <w:between w:val="nil"/>
        </w:pBdr>
        <w:spacing w:after="150" w:line="275" w:lineRule="auto"/>
        <w:rPr>
          <w:color w:val="1F1F1F"/>
        </w:rPr>
      </w:pPr>
      <w:r>
        <w:rPr>
          <w:color w:val="1F1F1F"/>
        </w:rPr>
        <w:t xml:space="preserve">Este material de la </w:t>
      </w:r>
      <w:r>
        <w:rPr>
          <w:b/>
          <w:bCs/>
          <w:color w:val="1F1F1F"/>
        </w:rPr>
        <w:t>Unidad 03</w:t>
      </w:r>
      <w:r>
        <w:rPr>
          <w:color w:val="1F1F1F"/>
        </w:rPr>
        <w:t xml:space="preserve"> concluye la fase de diseño del proyecto de intervención.</w:t>
      </w:r>
    </w:p>
    <w:p w14:paraId="0000005D" w14:textId="77777777" w:rsidR="00560BA1" w:rsidRDefault="00000000">
      <w:pPr>
        <w:pBdr>
          <w:top w:val="nil"/>
          <w:left w:val="nil"/>
          <w:bottom w:val="nil"/>
          <w:right w:val="nil"/>
          <w:between w:val="nil"/>
        </w:pBdr>
        <w:spacing w:after="150" w:line="275" w:lineRule="auto"/>
        <w:rPr>
          <w:b/>
          <w:bCs/>
          <w:color w:val="1F1F1F"/>
        </w:rPr>
      </w:pPr>
      <w:r>
        <w:rPr>
          <w:b/>
          <w:bCs/>
          <w:color w:val="1F1F1F"/>
        </w:rPr>
        <w:t>Actividades Sugeridas en el Aula Virtual:</w:t>
      </w:r>
    </w:p>
    <w:p w14:paraId="0000005E" w14:textId="77777777" w:rsidR="00560BA1" w:rsidRDefault="00000000">
      <w:pPr>
        <w:numPr>
          <w:ilvl w:val="0"/>
          <w:numId w:val="4"/>
        </w:numPr>
        <w:pBdr>
          <w:top w:val="nil"/>
          <w:left w:val="nil"/>
          <w:bottom w:val="nil"/>
          <w:right w:val="nil"/>
          <w:between w:val="nil"/>
        </w:pBdr>
        <w:spacing w:line="275" w:lineRule="auto"/>
      </w:pPr>
      <w:r>
        <w:rPr>
          <w:b/>
          <w:bCs/>
          <w:color w:val="1F1F1F"/>
        </w:rPr>
        <w:t>Auditoría de IA:</w:t>
      </w:r>
      <w:r>
        <w:rPr>
          <w:color w:val="1F1F1F"/>
        </w:rPr>
        <w:t xml:space="preserve"> El estudiante evaluará un algoritmo de selección de personal hipotético bajo los 10 principios éticos de la UNESCO.</w:t>
      </w:r>
    </w:p>
    <w:p w14:paraId="0000005F" w14:textId="77777777" w:rsidR="00560BA1" w:rsidRDefault="00000000">
      <w:pPr>
        <w:numPr>
          <w:ilvl w:val="0"/>
          <w:numId w:val="4"/>
        </w:numPr>
        <w:pBdr>
          <w:top w:val="nil"/>
          <w:left w:val="nil"/>
          <w:bottom w:val="nil"/>
          <w:right w:val="nil"/>
          <w:between w:val="nil"/>
        </w:pBdr>
        <w:spacing w:line="275" w:lineRule="auto"/>
      </w:pPr>
      <w:r>
        <w:rPr>
          <w:b/>
          <w:bCs/>
          <w:color w:val="1F1F1F"/>
        </w:rPr>
        <w:t xml:space="preserve">Mapa de </w:t>
      </w:r>
      <w:proofErr w:type="spellStart"/>
      <w:r>
        <w:rPr>
          <w:b/>
          <w:bCs/>
          <w:color w:val="1F1F1F"/>
        </w:rPr>
        <w:t>Stakeholders</w:t>
      </w:r>
      <w:proofErr w:type="spellEnd"/>
      <w:r>
        <w:rPr>
          <w:b/>
          <w:bCs/>
          <w:color w:val="1F1F1F"/>
        </w:rPr>
        <w:t>:</w:t>
      </w:r>
      <w:r>
        <w:rPr>
          <w:color w:val="1F1F1F"/>
        </w:rPr>
        <w:t xml:space="preserve"> Creación de una matriz de materialidad para el proyecto de intervención diseñado en la unidad 01.</w:t>
      </w:r>
    </w:p>
    <w:p w14:paraId="00000060" w14:textId="77777777" w:rsidR="00560BA1" w:rsidRDefault="00000000">
      <w:pPr>
        <w:numPr>
          <w:ilvl w:val="0"/>
          <w:numId w:val="4"/>
        </w:numPr>
        <w:pBdr>
          <w:top w:val="nil"/>
          <w:left w:val="nil"/>
          <w:bottom w:val="nil"/>
          <w:right w:val="nil"/>
          <w:between w:val="nil"/>
        </w:pBdr>
        <w:spacing w:after="120" w:line="275" w:lineRule="auto"/>
      </w:pPr>
      <w:r>
        <w:rPr>
          <w:b/>
          <w:bCs/>
          <w:color w:val="1F1F1F"/>
        </w:rPr>
        <w:t>Taller de SROI:</w:t>
      </w:r>
      <w:r>
        <w:rPr>
          <w:color w:val="1F1F1F"/>
        </w:rPr>
        <w:t xml:space="preserve"> Cálculo del retorno social de una iniciativa de bienestar laboral utilizando simuladores en línea.</w:t>
      </w:r>
    </w:p>
    <w:p w14:paraId="00000061" w14:textId="77777777" w:rsidR="00560BA1" w:rsidRDefault="00000000">
      <w:pPr>
        <w:pBdr>
          <w:top w:val="nil"/>
          <w:left w:val="nil"/>
          <w:bottom w:val="nil"/>
          <w:right w:val="nil"/>
          <w:between w:val="nil"/>
        </w:pBdr>
        <w:spacing w:before="240" w:after="150" w:line="275" w:lineRule="auto"/>
        <w:rPr>
          <w:color w:val="1F1F1F"/>
        </w:rPr>
      </w:pPr>
      <w:r>
        <w:rPr>
          <w:color w:val="1F1F1F"/>
        </w:rPr>
        <w:t>Con este diseño pedagógico, el especialista de la Universidad de Córdoba está plenamente facultado para liderar intervenciones con rigor técnico y, sobre todo, con la profundidad ética que demanda la sociedad contemporánea.</w:t>
      </w:r>
    </w:p>
    <w:sectPr w:rsidR="00560BA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CFECF-542C-499B-83B0-07DDC9EDEFA3}"/>
  </w:font>
  <w:font w:name="Calibri">
    <w:panose1 w:val="020F0502020204030204"/>
    <w:charset w:val="00"/>
    <w:family w:val="swiss"/>
    <w:pitch w:val="variable"/>
    <w:sig w:usb0="E4002EFF" w:usb1="C200247B" w:usb2="00000009" w:usb3="00000000" w:csb0="000001FF" w:csb1="00000000"/>
    <w:embedRegular r:id="rId2" w:fontKey="{90C5CD73-D1D8-463B-B50E-0D511DDD32FA}"/>
  </w:font>
  <w:font w:name="Cambria">
    <w:panose1 w:val="02040503050406030204"/>
    <w:charset w:val="00"/>
    <w:family w:val="roman"/>
    <w:pitch w:val="variable"/>
    <w:sig w:usb0="E00006FF" w:usb1="420024FF" w:usb2="02000000" w:usb3="00000000" w:csb0="0000019F" w:csb1="00000000"/>
    <w:embedRegular r:id="rId3" w:fontKey="{E673549E-7259-43D0-BF5B-04E3A264A6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446F0F"/>
    <w:multiLevelType w:val="multilevel"/>
    <w:tmpl w:val="DDAEF5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179F1"/>
    <w:multiLevelType w:val="multilevel"/>
    <w:tmpl w:val="ACA23C5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2F1088"/>
    <w:multiLevelType w:val="multilevel"/>
    <w:tmpl w:val="C57CE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EA30D4"/>
    <w:multiLevelType w:val="multilevel"/>
    <w:tmpl w:val="F0F8E7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9D1A67"/>
    <w:multiLevelType w:val="multilevel"/>
    <w:tmpl w:val="2692F8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902A9D"/>
    <w:multiLevelType w:val="multilevel"/>
    <w:tmpl w:val="20FCDA8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B290151"/>
    <w:multiLevelType w:val="multilevel"/>
    <w:tmpl w:val="648499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D704EB8"/>
    <w:multiLevelType w:val="multilevel"/>
    <w:tmpl w:val="6A3E2A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5C62882"/>
    <w:multiLevelType w:val="hybridMultilevel"/>
    <w:tmpl w:val="94028C72"/>
    <w:lvl w:ilvl="0" w:tplc="74A099F4">
      <w:start w:val="1"/>
      <w:numFmt w:val="bullet"/>
      <w:lvlText w:val=""/>
      <w:lvlPicBulletId w:val="0"/>
      <w:lvlJc w:val="left"/>
      <w:pPr>
        <w:tabs>
          <w:tab w:val="num" w:pos="720"/>
        </w:tabs>
        <w:ind w:left="720" w:hanging="360"/>
      </w:pPr>
      <w:rPr>
        <w:rFonts w:ascii="Symbol" w:hAnsi="Symbol" w:hint="default"/>
      </w:rPr>
    </w:lvl>
    <w:lvl w:ilvl="1" w:tplc="A6302CD2" w:tentative="1">
      <w:start w:val="1"/>
      <w:numFmt w:val="bullet"/>
      <w:lvlText w:val=""/>
      <w:lvlJc w:val="left"/>
      <w:pPr>
        <w:tabs>
          <w:tab w:val="num" w:pos="1440"/>
        </w:tabs>
        <w:ind w:left="1440" w:hanging="360"/>
      </w:pPr>
      <w:rPr>
        <w:rFonts w:ascii="Symbol" w:hAnsi="Symbol" w:hint="default"/>
      </w:rPr>
    </w:lvl>
    <w:lvl w:ilvl="2" w:tplc="0428F332" w:tentative="1">
      <w:start w:val="1"/>
      <w:numFmt w:val="bullet"/>
      <w:lvlText w:val=""/>
      <w:lvlJc w:val="left"/>
      <w:pPr>
        <w:tabs>
          <w:tab w:val="num" w:pos="2160"/>
        </w:tabs>
        <w:ind w:left="2160" w:hanging="360"/>
      </w:pPr>
      <w:rPr>
        <w:rFonts w:ascii="Symbol" w:hAnsi="Symbol" w:hint="default"/>
      </w:rPr>
    </w:lvl>
    <w:lvl w:ilvl="3" w:tplc="5B1A8546" w:tentative="1">
      <w:start w:val="1"/>
      <w:numFmt w:val="bullet"/>
      <w:lvlText w:val=""/>
      <w:lvlJc w:val="left"/>
      <w:pPr>
        <w:tabs>
          <w:tab w:val="num" w:pos="2880"/>
        </w:tabs>
        <w:ind w:left="2880" w:hanging="360"/>
      </w:pPr>
      <w:rPr>
        <w:rFonts w:ascii="Symbol" w:hAnsi="Symbol" w:hint="default"/>
      </w:rPr>
    </w:lvl>
    <w:lvl w:ilvl="4" w:tplc="34A6245A" w:tentative="1">
      <w:start w:val="1"/>
      <w:numFmt w:val="bullet"/>
      <w:lvlText w:val=""/>
      <w:lvlJc w:val="left"/>
      <w:pPr>
        <w:tabs>
          <w:tab w:val="num" w:pos="3600"/>
        </w:tabs>
        <w:ind w:left="3600" w:hanging="360"/>
      </w:pPr>
      <w:rPr>
        <w:rFonts w:ascii="Symbol" w:hAnsi="Symbol" w:hint="default"/>
      </w:rPr>
    </w:lvl>
    <w:lvl w:ilvl="5" w:tplc="0B007EB8" w:tentative="1">
      <w:start w:val="1"/>
      <w:numFmt w:val="bullet"/>
      <w:lvlText w:val=""/>
      <w:lvlJc w:val="left"/>
      <w:pPr>
        <w:tabs>
          <w:tab w:val="num" w:pos="4320"/>
        </w:tabs>
        <w:ind w:left="4320" w:hanging="360"/>
      </w:pPr>
      <w:rPr>
        <w:rFonts w:ascii="Symbol" w:hAnsi="Symbol" w:hint="default"/>
      </w:rPr>
    </w:lvl>
    <w:lvl w:ilvl="6" w:tplc="F9C6D60C" w:tentative="1">
      <w:start w:val="1"/>
      <w:numFmt w:val="bullet"/>
      <w:lvlText w:val=""/>
      <w:lvlJc w:val="left"/>
      <w:pPr>
        <w:tabs>
          <w:tab w:val="num" w:pos="5040"/>
        </w:tabs>
        <w:ind w:left="5040" w:hanging="360"/>
      </w:pPr>
      <w:rPr>
        <w:rFonts w:ascii="Symbol" w:hAnsi="Symbol" w:hint="default"/>
      </w:rPr>
    </w:lvl>
    <w:lvl w:ilvl="7" w:tplc="3CC83AC8" w:tentative="1">
      <w:start w:val="1"/>
      <w:numFmt w:val="bullet"/>
      <w:lvlText w:val=""/>
      <w:lvlJc w:val="left"/>
      <w:pPr>
        <w:tabs>
          <w:tab w:val="num" w:pos="5760"/>
        </w:tabs>
        <w:ind w:left="5760" w:hanging="360"/>
      </w:pPr>
      <w:rPr>
        <w:rFonts w:ascii="Symbol" w:hAnsi="Symbol" w:hint="default"/>
      </w:rPr>
    </w:lvl>
    <w:lvl w:ilvl="8" w:tplc="99B2DDD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C024A2A"/>
    <w:multiLevelType w:val="multilevel"/>
    <w:tmpl w:val="0576C3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0EE1C9A"/>
    <w:multiLevelType w:val="multilevel"/>
    <w:tmpl w:val="ED0C7C9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E067F70"/>
    <w:multiLevelType w:val="multilevel"/>
    <w:tmpl w:val="9F783A6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9D602F"/>
    <w:multiLevelType w:val="multilevel"/>
    <w:tmpl w:val="4B52EC3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D316D56"/>
    <w:multiLevelType w:val="multilevel"/>
    <w:tmpl w:val="FA9E455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EBD400D"/>
    <w:multiLevelType w:val="multilevel"/>
    <w:tmpl w:val="D2EC2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4B2442"/>
    <w:multiLevelType w:val="multilevel"/>
    <w:tmpl w:val="3E40A8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10E6AF2"/>
    <w:multiLevelType w:val="multilevel"/>
    <w:tmpl w:val="054CB2C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33A50CF"/>
    <w:multiLevelType w:val="multilevel"/>
    <w:tmpl w:val="9FDE78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82C6FFE"/>
    <w:multiLevelType w:val="multilevel"/>
    <w:tmpl w:val="6942A1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8534327">
    <w:abstractNumId w:val="13"/>
  </w:num>
  <w:num w:numId="2" w16cid:durableId="944268437">
    <w:abstractNumId w:val="2"/>
  </w:num>
  <w:num w:numId="3" w16cid:durableId="1962223576">
    <w:abstractNumId w:val="6"/>
  </w:num>
  <w:num w:numId="4" w16cid:durableId="573511053">
    <w:abstractNumId w:val="12"/>
  </w:num>
  <w:num w:numId="5" w16cid:durableId="1741370287">
    <w:abstractNumId w:val="11"/>
  </w:num>
  <w:num w:numId="6" w16cid:durableId="1585842561">
    <w:abstractNumId w:val="0"/>
  </w:num>
  <w:num w:numId="7" w16cid:durableId="562642081">
    <w:abstractNumId w:val="1"/>
  </w:num>
  <w:num w:numId="8" w16cid:durableId="1540584570">
    <w:abstractNumId w:val="5"/>
  </w:num>
  <w:num w:numId="9" w16cid:durableId="1232039504">
    <w:abstractNumId w:val="18"/>
  </w:num>
  <w:num w:numId="10" w16cid:durableId="165755574">
    <w:abstractNumId w:val="10"/>
  </w:num>
  <w:num w:numId="11" w16cid:durableId="986513692">
    <w:abstractNumId w:val="9"/>
  </w:num>
  <w:num w:numId="12" w16cid:durableId="1000619350">
    <w:abstractNumId w:val="3"/>
  </w:num>
  <w:num w:numId="13" w16cid:durableId="158889519">
    <w:abstractNumId w:val="14"/>
  </w:num>
  <w:num w:numId="14" w16cid:durableId="1739205207">
    <w:abstractNumId w:val="7"/>
  </w:num>
  <w:num w:numId="15" w16cid:durableId="1644193599">
    <w:abstractNumId w:val="15"/>
  </w:num>
  <w:num w:numId="16" w16cid:durableId="1672444911">
    <w:abstractNumId w:val="4"/>
  </w:num>
  <w:num w:numId="17" w16cid:durableId="1584603465">
    <w:abstractNumId w:val="17"/>
  </w:num>
  <w:num w:numId="18" w16cid:durableId="1409956004">
    <w:abstractNumId w:val="16"/>
  </w:num>
  <w:num w:numId="19" w16cid:durableId="1511682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A1"/>
    <w:rsid w:val="00560BA1"/>
    <w:rsid w:val="00846E0A"/>
    <w:rsid w:val="00B16E89"/>
    <w:rsid w:val="00ED1DFB"/>
    <w:rsid w:val="00F201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1890"/>
  <w15:docId w15:val="{78D2A43B-E170-47CB-A71F-D8038792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B16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656</Words>
  <Characters>3613</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2026-06-26T23:51:00Z</dcterms:created>
  <dcterms:modified xsi:type="dcterms:W3CDTF">2026-06-26T23:51:00Z</dcterms:modified>
</cp:coreProperties>
</file>