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mc:AlternateContent>
          <mc:Choice Requires="wps">
            <w:drawing>
              <wp:anchor behindDoc="0" distT="635" distB="635" distL="1270" distR="0" simplePos="0" locked="0" layoutInCell="0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8915" cy="114300"/>
                <wp:effectExtent l="1270" t="635" r="0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8840" cy="114480"/>
                        </a:xfrm>
                        <a:prstGeom prst="rect">
                          <a:avLst/>
                        </a:prstGeom>
                        <a:solidFill>
                          <a:srgbClr val="e32c5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e32c56" stroked="t" o:allowincell="f" style="position:absolute;margin-left:2.4pt;margin-top:4.05pt;width:516.4pt;height:8.95pt;mso-wrap-style:none;v-text-anchor:middle">
                <v:fill o:detectmouseclick="t" type="solid" color2="#1cd3a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9" w:after="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eastAsia="Times New Roman" w:cs="Times New Roman" w:ascii="Times New Roman" w:hAnsi="Times New Roman"/>
          <w:sz w:val="14"/>
          <w:szCs w:val="14"/>
        </w:rPr>
      </w:r>
    </w:p>
    <w:p>
      <w:pPr>
        <w:pStyle w:val="Normal"/>
        <w:widowControl w:val="false"/>
        <w:suppressAutoHyphens w:val="true"/>
        <w:bidi w:val="0"/>
        <w:spacing w:before="27" w:after="0"/>
        <w:ind w:left="3509" w:right="3329" w:hanging="0"/>
        <w:jc w:val="center"/>
        <w:rPr>
          <w:rFonts w:ascii="Calibri" w:hAnsi="Calibri" w:eastAsia="Calibri" w:cs="Calibri"/>
          <w:sz w:val="36"/>
          <w:szCs w:val="36"/>
        </w:rPr>
      </w:pPr>
      <w:r>
        <w:rPr>
          <w:b/>
          <w:color w:val="E32C56"/>
          <w:spacing w:val="-1"/>
          <w:sz w:val="36"/>
        </w:rPr>
        <w:t>GENEFOOD VITA+</w:t>
      </w:r>
    </w:p>
    <w:p>
      <w:pPr>
        <w:pStyle w:val="Normal"/>
        <w:spacing w:before="4" w:after="0"/>
        <w:rPr>
          <w:rFonts w:ascii="Calibri" w:hAnsi="Calibri" w:eastAsia="Calibri" w:cs="Calibri"/>
          <w:b/>
          <w:b/>
          <w:bCs/>
          <w:sz w:val="16"/>
          <w:szCs w:val="16"/>
        </w:rPr>
      </w:pPr>
      <w:r>
        <w:rPr>
          <w:rFonts w:eastAsia="Calibri" w:cs="Calibri"/>
          <w:b/>
          <w:bCs/>
          <w:sz w:val="16"/>
          <w:szCs w:val="16"/>
        </w:rPr>
      </w:r>
    </w:p>
    <w:p>
      <w:pPr>
        <w:pStyle w:val="Normal"/>
        <w:spacing w:lineRule="atLeast" w:line="190"/>
        <w:ind w:left="124" w:hanging="0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mc:AlternateContent>
          <mc:Choice Requires="wps">
            <w:drawing>
              <wp:anchor behindDoc="0" distT="635" distB="635" distL="1270" distR="0" simplePos="0" locked="0" layoutInCell="0" allowOverlap="1" relativeHeight="4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8915" cy="114300"/>
                <wp:effectExtent l="1270" t="635" r="0" b="635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8840" cy="114480"/>
                        </a:xfrm>
                        <a:prstGeom prst="rect">
                          <a:avLst/>
                        </a:prstGeom>
                        <a:solidFill>
                          <a:srgbClr val="e32c5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e32c56" stroked="t" o:allowincell="f" style="position:absolute;margin-left:2.4pt;margin-top:4.05pt;width:516.4pt;height:8.95pt;mso-wrap-style:none;v-text-anchor:middle">
                <v:fill o:detectmouseclick="t" type="solid" color2="#1cd3a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9" w:after="0"/>
        <w:rPr>
          <w:rFonts w:ascii="Calibri" w:hAnsi="Calibri" w:eastAsia="Calibri" w:cs="Calibri"/>
          <w:b/>
          <w:b/>
          <w:bCs/>
          <w:sz w:val="23"/>
          <w:szCs w:val="23"/>
        </w:rPr>
      </w:pPr>
      <w:r>
        <w:rPr>
          <w:rFonts w:eastAsia="Calibri" w:cs="Calibri"/>
          <w:b/>
          <w:bCs/>
          <w:sz w:val="23"/>
          <w:szCs w:val="23"/>
        </w:rPr>
      </w:r>
    </w:p>
    <w:p>
      <w:pPr>
        <w:pStyle w:val="Normal"/>
        <w:spacing w:before="58" w:after="0"/>
        <w:ind w:left="108" w:hanging="0"/>
        <w:rPr>
          <w:rFonts w:ascii="Arial" w:hAnsi="Arial"/>
          <w:b/>
          <w:b/>
          <w:spacing w:val="-1"/>
          <w:sz w:val="28"/>
        </w:rPr>
      </w:pPr>
      <w:r>
        <w:rPr>
          <w:rFonts w:eastAsia="Calibri" w:cs="" w:ascii="Arial" w:hAnsi="Arial" w:cstheme="minorBidi" w:eastAsiaTheme="minorHAnsi"/>
          <w:b/>
          <w:color w:val="auto"/>
          <w:spacing w:val="-1"/>
          <w:kern w:val="0"/>
          <w:sz w:val="32"/>
          <w:szCs w:val="22"/>
          <w:lang w:val="en-US" w:eastAsia="en-US" w:bidi="ar-SA"/>
        </w:rPr>
        <w:t>Sig.ra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FAZIO CINZIA</w:t>
      </w:r>
    </w:p>
    <w:p>
      <w:pPr>
        <w:pStyle w:val="Normal"/>
        <w:spacing w:before="58" w:after="0"/>
        <w:ind w:left="108" w:hanging="0"/>
        <w:rPr>
          <w:rFonts w:ascii="Arial" w:hAnsi="Arial" w:eastAsia="Arial" w:cs="Arial"/>
          <w:sz w:val="28"/>
          <w:szCs w:val="28"/>
        </w:rPr>
      </w:pPr>
      <w:r>
        <w:rPr>
          <w:rFonts w:eastAsia="Arial" w:cs="Arial" w:ascii="Arial" w:hAnsi="Arial"/>
          <w:sz w:val="28"/>
          <w:szCs w:val="28"/>
        </w:rPr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4"/>
        <w:gridCol w:w="3237"/>
        <w:gridCol w:w="3609"/>
      </w:tblGrid>
      <w:tr>
        <w:trPr>
          <w:trHeight w:val="787" w:hRule="atLeast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24246361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25/09/2024 10:05:08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0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03/08/2016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F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0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50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168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17.72 (Sottopeso)</w:t>
            </w:r>
          </w:p>
        </w:tc>
      </w:tr>
    </w:tbl>
    <w:p>
      <w:pPr>
        <w:pStyle w:val="Normal"/>
        <w:spacing w:before="2" w:after="0"/>
        <w:rPr>
          <w:rFonts w:ascii="Arial" w:hAnsi="Arial" w:eastAsia="Arial" w:cs="Arial"/>
          <w:b/>
          <w:b/>
          <w:bCs/>
          <w:sz w:val="15"/>
          <w:szCs w:val="15"/>
          <w:lang w:val="it-IT"/>
        </w:rPr>
      </w:pPr>
      <w:r>
        <w:rPr>
          <w:rFonts w:eastAsia="Arial" w:cs="Arial" w:ascii="Arial" w:hAnsi="Arial"/>
          <w:b/>
          <w:bCs/>
          <w:sz w:val="15"/>
          <w:szCs w:val="15"/>
          <w:lang w:val="it-IT"/>
        </w:rPr>
      </w:r>
    </w:p>
    <w:p>
      <w:pPr>
        <w:pStyle w:val="Normal"/>
        <w:spacing w:before="72" w:after="0"/>
        <w:ind w:left="1709" w:hanging="0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right="65" w:hanging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LIEVE PREDISPOSIZIONE GENETICA</w:t>
            </w:r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25"/>
          <w:szCs w:val="25"/>
          <w:lang w:val="it-IT"/>
        </w:rPr>
      </w:pPr>
      <w:r>
        <w:rPr>
          <w:rFonts w:eastAsia="Arial" w:cs="Arial" w:ascii="Arial" w:hAnsi="Arial"/>
          <w:sz w:val="25"/>
          <w:szCs w:val="25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F49D16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25"/>
          <w:szCs w:val="25"/>
          <w:lang w:val="it-IT"/>
        </w:rPr>
      </w:pPr>
      <w:r>
        <w:rPr>
          <w:rFonts w:eastAsia="Arial" w:cs="Arial" w:ascii="Arial" w:hAnsi="Arial"/>
          <w:sz w:val="25"/>
          <w:szCs w:val="25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color w:val="92D050"/>
                <w:sz w:val="24"/>
                <w:szCs w:val="24"/>
              </w:rPr>
            </w:pPr>
            <w:r>
              <w:rPr>
                <w:rFonts w:ascii="Arial" w:hAnsi="Arial"/>
                <w:b/>
                <w:color w:val="92D050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CF5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it-IT" w:eastAsia="en-US" w:bidi="ar-SA"/>
              </w:rPr>
              <w:t>PREDISPOSIZIONE GENETICA AD UNA ELEVATA  SENSIBILITA' ALLA CAFFEINA E ALL’INTOLLERANZA AL GLUTINE</w:t>
            </w:r>
          </w:p>
        </w:tc>
      </w:tr>
    </w:tbl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b/>
                <w:b/>
                <w:bCs/>
                <w:color w:val="CC2A58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CC2A58"/>
                <w:kern w:val="0"/>
                <w:sz w:val="24"/>
                <w:szCs w:val="24"/>
                <w:lang w:val="it-IT" w:eastAsia="en-US" w:bidi="ar-SA"/>
              </w:rPr>
              <w:t>ASSORBIMENTO E METABOLISMO DI MINERALI E VITAMINE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C2A58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val="FFFFFF" w:themeColor="background1"/>
                <w:lang w:val="it-IT"/>
              </w:rPr>
            </w:pPr>
            <w:r>
              <w:rPr>
                <w:rFonts w:eastAsia="Arial" w:cs="Arial" w:ascii="Arial" w:hAnsi="Arial"/>
                <w:color w:val="FFFFFF" w:themeColor="background1"/>
                <w:kern w:val="0"/>
                <w:sz w:val="22"/>
                <w:szCs w:val="22"/>
                <w:lang w:val="it-IT" w:eastAsia="en-US" w:bidi="ar-SA"/>
              </w:rPr>
              <w:t>PREDISPOSIZIONE GENETICA ALLA CARENZA DI VITAMINA D</w:t>
            </w:r>
          </w:p>
        </w:tc>
      </w:tr>
    </w:tbl>
    <w:p>
      <w:pPr>
        <w:pStyle w:val="TextBody"/>
        <w:tabs>
          <w:tab w:val="clear" w:pos="720"/>
          <w:tab w:val="left" w:pos="5274" w:leader="none"/>
        </w:tabs>
        <w:spacing w:lineRule="atLeast" w:line="200"/>
        <w:ind w:left="390" w:hanging="0"/>
        <w:rPr>
          <w:rFonts w:cs="Arial"/>
        </w:rPr>
      </w:pPr>
      <w:r>
        <w:rPr>
          <w:position w:val="20"/>
        </w:rPr>
        <w:tab/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4998085</wp:posOffset>
            </wp:positionH>
            <wp:positionV relativeFrom="paragraph">
              <wp:posOffset>132715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1431925" cy="607060"/>
            <wp:effectExtent l="0" t="0" r="0" b="0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27"/>
          <w:szCs w:val="27"/>
        </w:rPr>
      </w:pPr>
      <w:r>
        <w:rPr>
          <w:rFonts w:eastAsia="Arial" w:cs="Arial" w:ascii="Arial" w:hAnsi="Arial"/>
          <w:sz w:val="27"/>
          <w:szCs w:val="27"/>
        </w:rPr>
      </w:r>
    </w:p>
    <w:p>
      <w:pPr>
        <w:pStyle w:val="Heading2"/>
        <w:spacing w:lineRule="auto" w:line="276" w:before="56" w:after="0"/>
        <w:ind w:left="108" w:right="168" w:hanging="0"/>
        <w:rPr>
          <w:rFonts w:ascii="Arial" w:hAnsi="Arial" w:cs="Arial"/>
          <w:b w:val="false"/>
          <w:b w:val="false"/>
          <w:bCs w:val="false"/>
          <w:sz w:val="20"/>
          <w:szCs w:val="20"/>
          <w:lang w:val="it-IT"/>
        </w:rPr>
      </w:pPr>
      <w:r>
        <w:rPr>
          <w:rFonts w:cs="Arial" w:ascii="Arial" w:hAnsi="Arial"/>
          <w:sz w:val="20"/>
          <w:szCs w:val="20"/>
          <w:u w:val="single" w:color="000000"/>
          <w:lang w:val="it-IT"/>
        </w:rPr>
        <w:t>N.B.</w:t>
      </w:r>
      <w:r>
        <w:rPr>
          <w:rFonts w:cs="Arial" w:ascii="Arial" w:hAnsi="Arial"/>
          <w:spacing w:val="48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z w:val="20"/>
          <w:szCs w:val="20"/>
          <w:u w:val="single" w:color="000000"/>
          <w:lang w:val="it-IT"/>
        </w:rPr>
        <w:t>La</w:t>
      </w:r>
      <w:r>
        <w:rPr>
          <w:rFonts w:cs="Arial" w:ascii="Arial" w:hAnsi="Arial"/>
          <w:spacing w:val="47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sintesi</w:t>
      </w:r>
      <w:r>
        <w:rPr>
          <w:rFonts w:cs="Arial" w:ascii="Arial" w:hAnsi="Arial"/>
          <w:spacing w:val="47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sopra</w:t>
      </w:r>
      <w:r>
        <w:rPr>
          <w:rFonts w:cs="Arial" w:ascii="Arial" w:hAnsi="Arial"/>
          <w:spacing w:val="48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riportata</w:t>
      </w:r>
      <w:r>
        <w:rPr>
          <w:rFonts w:cs="Arial" w:ascii="Arial" w:hAnsi="Arial"/>
          <w:spacing w:val="48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non</w:t>
      </w:r>
      <w:r>
        <w:rPr>
          <w:rFonts w:cs="Arial" w:ascii="Arial" w:hAnsi="Arial"/>
          <w:spacing w:val="44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z w:val="20"/>
          <w:szCs w:val="20"/>
          <w:u w:val="single" w:color="000000"/>
          <w:lang w:val="it-IT"/>
        </w:rPr>
        <w:t>è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una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diagnosi</w:t>
      </w:r>
      <w:r>
        <w:rPr>
          <w:rFonts w:cs="Arial" w:ascii="Arial" w:hAnsi="Arial"/>
          <w:spacing w:val="46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clinica</w:t>
      </w:r>
      <w:r>
        <w:rPr>
          <w:rFonts w:cs="Arial" w:ascii="Arial" w:hAnsi="Arial"/>
          <w:spacing w:val="47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(le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diagnosi</w:t>
      </w:r>
      <w:r>
        <w:rPr>
          <w:rFonts w:cs="Arial" w:ascii="Arial" w:hAnsi="Arial"/>
          <w:spacing w:val="44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cliniche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spettano</w:t>
      </w:r>
      <w:r>
        <w:rPr>
          <w:rFonts w:cs="Arial" w:ascii="Arial" w:hAnsi="Arial"/>
          <w:spacing w:val="46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esclusivamente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al</w:t>
      </w:r>
      <w:r>
        <w:rPr>
          <w:rFonts w:cs="Arial" w:ascii="Arial" w:hAnsi="Arial"/>
          <w:spacing w:val="40"/>
          <w:sz w:val="20"/>
          <w:szCs w:val="20"/>
          <w:lang w:val="it-IT"/>
        </w:rPr>
        <w:t xml:space="preserve"> </w:t>
      </w:r>
      <w:r>
        <w:rPr>
          <w:rFonts w:cs="Arial" w:ascii="Arial" w:hAnsi="Arial"/>
          <w:sz w:val="20"/>
          <w:szCs w:val="20"/>
          <w:u w:val="single" w:color="000000"/>
          <w:lang w:val="it-IT"/>
        </w:rPr>
        <w:t>medico).</w:t>
      </w:r>
      <w:r>
        <w:br w:type="page"/>
      </w:r>
    </w:p>
    <w:p>
      <w:pPr>
        <w:pStyle w:val="Normal"/>
        <w:spacing w:before="10" w:after="0"/>
        <w:rPr>
          <w:rFonts w:ascii="Calibri" w:hAnsi="Calibri" w:eastAsia="Calibri" w:cs="Calibri"/>
          <w:b/>
          <w:b/>
          <w:bCs/>
          <w:sz w:val="18"/>
          <w:szCs w:val="18"/>
          <w:lang w:val="it-IT"/>
        </w:rPr>
      </w:pPr>
      <w:r>
        <w:rPr>
          <w:rFonts w:eastAsia="Calibri" w:cs="Calibri"/>
          <w:b/>
          <w:bCs/>
          <w:sz w:val="18"/>
          <w:szCs w:val="18"/>
          <w:lang w:val="it-IT"/>
        </w:rPr>
      </w:r>
    </w:p>
    <w:p>
      <w:pPr>
        <w:pStyle w:val="Normal"/>
        <w:spacing w:before="69" w:after="0"/>
        <w:jc w:val="center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ascii="Arial" w:hAnsi="Arial"/>
          <w:b/>
          <w:color w:val="F49D16"/>
          <w:spacing w:val="-1"/>
          <w:sz w:val="24"/>
          <w:lang w:val="it-IT"/>
        </w:rPr>
        <w:t>PREDISPOSIZIONE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GENETICA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ALL'AUMENTO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DI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PESO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TextBody"/>
        <w:spacing w:lineRule="auto" w:line="271"/>
        <w:ind w:left="0" w:right="99" w:hanging="0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36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u w:val="single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  <w:bookmarkStart w:id="0" w:name="_Hlk83979477"/>
            <w:bookmarkEnd w:id="0"/>
          </w:p>
        </w:tc>
      </w:tr>
    </w:tbl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spacing w:before="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TextBody"/>
        <w:spacing w:before="74" w:after="0"/>
        <w:ind w:left="0" w:hanging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10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1" w:name="_Hlk83979518"/>
            <w:bookmarkStart w:id="2" w:name="_Hlk83979518"/>
            <w:bookmarkEnd w:id="2"/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Leptin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APOA2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MC4R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LEPR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TMEM18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GNPDA2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BDNF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  <w:r>
        <w:br w:type="page"/>
      </w:r>
    </w:p>
    <w:p>
      <w:pPr>
        <w:pStyle w:val="Heading1"/>
        <w:jc w:val="center"/>
        <w:rPr>
          <w:b w:val="false"/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DIABETE</w:t>
      </w:r>
      <w:r>
        <w:rPr>
          <w:color w:val="F49D16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TIPO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lang w:val="it-IT"/>
        </w:rPr>
        <w:t>2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TextBody"/>
        <w:spacing w:lineRule="auto" w:line="271"/>
        <w:ind w:left="0" w:right="117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7"/>
          <w:lang w:val="it-IT"/>
        </w:rPr>
        <w:t xml:space="preserve"> </w:t>
      </w:r>
      <w:r>
        <w:rPr>
          <w:lang w:val="it-IT"/>
        </w:rPr>
        <w:t>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descrive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fallimento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8"/>
          <w:lang w:val="it-IT"/>
        </w:rPr>
        <w:t xml:space="preserve"> </w:t>
      </w:r>
      <w:r>
        <w:rPr>
          <w:spacing w:val="-2"/>
          <w:lang w:val="it-IT"/>
        </w:rPr>
        <w:t>cellule</w:t>
      </w:r>
      <w:r>
        <w:rPr>
          <w:spacing w:val="76"/>
          <w:w w:val="9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reagire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l'insulina.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88"/>
        <w:ind w:right="119" w:hanging="0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lineRule="auto" w:line="288"/>
        <w:ind w:right="119" w:hanging="0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27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  <w:bookmarkStart w:id="3" w:name="_Hlk83979565"/>
            <w:bookmarkEnd w:id="3"/>
          </w:p>
        </w:tc>
      </w:tr>
    </w:tbl>
    <w:p>
      <w:pPr>
        <w:pStyle w:val="Normal"/>
        <w:spacing w:lineRule="atLeast" w:line="20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4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TextBody"/>
        <w:spacing w:before="74" w:after="0"/>
        <w:ind w:left="0" w:hanging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10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4" w:name="_Hlk83979627"/>
            <w:bookmarkStart w:id="5" w:name="_Hlk83979627"/>
            <w:bookmarkEnd w:id="5"/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GCK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SLC30A8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  <w:r>
        <w:br w:type="page"/>
      </w:r>
    </w:p>
    <w:p>
      <w:pPr>
        <w:pStyle w:val="Heading1"/>
        <w:jc w:val="center"/>
        <w:rPr>
          <w:b w:val="false"/>
          <w:b w:val="false"/>
          <w:bCs w:val="false"/>
        </w:rPr>
      </w:pPr>
      <w:r>
        <w:rPr>
          <w:color w:val="F49D16"/>
          <w:spacing w:val="-1"/>
        </w:rPr>
        <w:t>PREDISPOSIZIONE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GENETICA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ALLE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PATOLOGIE</w:t>
      </w:r>
      <w:r>
        <w:rPr>
          <w:color w:val="F49D16"/>
          <w:spacing w:val="2"/>
        </w:rPr>
        <w:t xml:space="preserve"> </w:t>
      </w:r>
      <w:r>
        <w:rPr>
          <w:color w:val="F49D16"/>
          <w:spacing w:val="-1"/>
        </w:rPr>
        <w:t>CARDIOVASCOLARI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TextBody"/>
        <w:spacing w:lineRule="auto" w:line="271"/>
        <w:ind w:left="0" w:right="117" w:hanging="0"/>
        <w:jc w:val="both"/>
        <w:rPr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color w:val="F49D16"/>
          <w:spacing w:val="-1"/>
          <w:lang w:val="it-IT"/>
        </w:rPr>
        <w:t>patologie</w:t>
      </w:r>
      <w:r>
        <w:rPr>
          <w:b/>
          <w:color w:val="F49D16"/>
          <w:spacing w:val="-8"/>
          <w:lang w:val="it-IT"/>
        </w:rPr>
        <w:t xml:space="preserve"> </w:t>
      </w:r>
      <w:r>
        <w:rPr>
          <w:b/>
          <w:color w:val="F49D16"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Normal"/>
        <w:spacing w:before="10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27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  <w:bookmarkStart w:id="6" w:name="_Hlk83979719"/>
            <w:bookmarkEnd w:id="6"/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TextBody"/>
        <w:spacing w:before="74" w:after="0"/>
        <w:ind w:left="0" w:hanging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53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1"/>
        <w:gridCol w:w="2098"/>
        <w:gridCol w:w="4034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9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4034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4034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7" w:name="_Hlk83979744"/>
            <w:bookmarkStart w:id="8" w:name="_Hlk83979744"/>
            <w:bookmarkEnd w:id="8"/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ADRB1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FADS1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CETP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APOA5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p>
      <w:pPr>
        <w:pStyle w:val="Heading1"/>
        <w:jc w:val="center"/>
        <w:rPr>
          <w:b w:val="false"/>
          <w:b w:val="false"/>
          <w:bCs w:val="false"/>
        </w:rPr>
      </w:pPr>
      <w:r>
        <w:rPr>
          <w:color w:val="92D050"/>
          <w:spacing w:val="-1"/>
        </w:rPr>
        <w:t>PREDISPOSIZIONE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GENETICA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ALLE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INTOLLERANZE</w:t>
      </w:r>
    </w:p>
    <w:p>
      <w:pPr>
        <w:pStyle w:val="Normal"/>
        <w:spacing w:before="4" w:after="0"/>
        <w:rPr>
          <w:rFonts w:ascii="Arial" w:hAnsi="Arial" w:eastAsia="Arial" w:cs="Arial"/>
          <w:b/>
          <w:b/>
          <w:bCs/>
          <w:sz w:val="25"/>
          <w:szCs w:val="25"/>
        </w:rPr>
      </w:pPr>
      <w:r>
        <w:rPr>
          <w:rFonts w:eastAsia="Arial" w:cs="Arial" w:ascii="Arial" w:hAnsi="Arial"/>
          <w:b/>
          <w:bCs/>
          <w:sz w:val="25"/>
          <w:szCs w:val="25"/>
        </w:rPr>
      </w:r>
    </w:p>
    <w:p>
      <w:pPr>
        <w:pStyle w:val="TextBody"/>
        <w:spacing w:lineRule="auto" w:line="271"/>
        <w:ind w:left="0" w:right="98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corpo,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l'aiuto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enzimi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specifici,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metabolizza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glutine,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caffeina,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l'alcol,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4"/>
          <w:lang w:val="it-IT"/>
        </w:rPr>
        <w:t xml:space="preserve"> </w:t>
      </w:r>
      <w:r>
        <w:rPr>
          <w:lang w:val="it-IT"/>
        </w:rPr>
        <w:t>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solfiti,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2"/>
          <w:lang w:val="it-IT"/>
        </w:rPr>
        <w:t>nichel</w:t>
      </w:r>
      <w:r>
        <w:rPr>
          <w:spacing w:val="45"/>
          <w:w w:val="99"/>
          <w:lang w:val="it-IT"/>
        </w:rPr>
        <w:t xml:space="preserve"> </w:t>
      </w:r>
      <w:r>
        <w:rPr>
          <w:spacing w:val="-1"/>
          <w:lang w:val="it-IT"/>
        </w:rPr>
        <w:t>ecc.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dopo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consumo.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Ciò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consente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utilizzati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nutrienti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impedisce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59"/>
          <w:w w:val="99"/>
          <w:lang w:val="it-IT"/>
        </w:rPr>
        <w:t xml:space="preserve"> </w:t>
      </w:r>
      <w:r>
        <w:rPr>
          <w:spacing w:val="-1"/>
          <w:lang w:val="it-IT"/>
        </w:rPr>
        <w:t>diventino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nocive.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certo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funziona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modo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ottimale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portare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problemi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salute.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TextBody"/>
        <w:spacing w:lineRule="auto" w:line="271"/>
        <w:ind w:left="0" w:right="98" w:hanging="0"/>
        <w:jc w:val="both"/>
        <w:rPr>
          <w:lang w:val="it-IT"/>
        </w:rPr>
      </w:pPr>
      <w:r>
        <w:rPr>
          <w:b/>
          <w:spacing w:val="-1"/>
          <w:lang w:val="it-IT"/>
        </w:rPr>
        <w:t>L'intolleranza</w:t>
      </w:r>
      <w:r>
        <w:rPr>
          <w:b/>
          <w:spacing w:val="10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11"/>
          <w:lang w:val="it-IT"/>
        </w:rPr>
        <w:t xml:space="preserve"> </w:t>
      </w:r>
      <w:r>
        <w:rPr>
          <w:b/>
          <w:lang w:val="it-IT"/>
        </w:rPr>
        <w:t>lattosio</w:t>
      </w:r>
      <w:r>
        <w:rPr>
          <w:b/>
          <w:spacing w:val="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fenomeni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noti,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dove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manca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lattasi,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responsabile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0"/>
          <w:w w:val="99"/>
          <w:lang w:val="it-IT"/>
        </w:rPr>
        <w:t xml:space="preserve"> </w:t>
      </w:r>
      <w:r>
        <w:rPr>
          <w:spacing w:val="-1"/>
          <w:lang w:val="it-IT"/>
        </w:rPr>
        <w:t>degradazione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zucchero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8"/>
          <w:lang w:val="it-IT"/>
        </w:rPr>
        <w:t xml:space="preserve"> </w:t>
      </w:r>
      <w:r>
        <w:rPr>
          <w:spacing w:val="-1"/>
          <w:lang w:val="it-IT"/>
        </w:rPr>
        <w:t>latte.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Altro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noto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fenomeno</w:t>
      </w:r>
      <w:r>
        <w:rPr>
          <w:spacing w:val="2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5"/>
          <w:lang w:val="it-IT"/>
        </w:rPr>
        <w:t xml:space="preserve"> </w:t>
      </w:r>
      <w:r>
        <w:rPr>
          <w:b/>
          <w:lang w:val="it-IT"/>
        </w:rPr>
        <w:t>l'intolleranza</w:t>
      </w:r>
      <w:r>
        <w:rPr>
          <w:b/>
          <w:spacing w:val="25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24"/>
          <w:lang w:val="it-IT"/>
        </w:rPr>
        <w:t xml:space="preserve"> </w:t>
      </w:r>
      <w:r>
        <w:rPr>
          <w:b/>
          <w:lang w:val="it-IT"/>
        </w:rPr>
        <w:t>glutine</w:t>
      </w:r>
      <w:r>
        <w:rPr>
          <w:lang w:val="it-IT"/>
        </w:rPr>
        <w:t>,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presente</w:t>
      </w:r>
      <w:r>
        <w:rPr>
          <w:spacing w:val="24"/>
          <w:lang w:val="it-IT"/>
        </w:rPr>
        <w:t xml:space="preserve"> </w:t>
      </w:r>
      <w:r>
        <w:rPr>
          <w:spacing w:val="-2"/>
          <w:lang w:val="it-IT"/>
        </w:rPr>
        <w:t>nei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soggetti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celiaci,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dell'ingestione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glutine</w:t>
      </w:r>
      <w:r>
        <w:rPr>
          <w:spacing w:val="5"/>
          <w:lang w:val="it-IT"/>
        </w:rPr>
        <w:t xml:space="preserve"> </w:t>
      </w:r>
      <w:r>
        <w:rPr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scatena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immunitaria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conseguente</w:t>
      </w:r>
      <w:r>
        <w:rPr>
          <w:spacing w:val="36"/>
          <w:w w:val="99"/>
          <w:lang w:val="it-IT"/>
        </w:rPr>
        <w:t xml:space="preserve"> </w:t>
      </w:r>
      <w:r>
        <w:rPr>
          <w:spacing w:val="-2"/>
          <w:lang w:val="it-IT"/>
        </w:rPr>
        <w:t>infiammazione.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TextBody"/>
        <w:spacing w:lineRule="auto" w:line="271"/>
        <w:ind w:left="0" w:right="99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valuta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maggiore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minore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individuo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celiaca.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importanti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processi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metabolismo</w:t>
      </w:r>
      <w:r>
        <w:rPr>
          <w:b/>
          <w:spacing w:val="41"/>
          <w:lang w:val="it-IT"/>
        </w:rPr>
        <w:t xml:space="preserve"> </w:t>
      </w:r>
      <w:r>
        <w:rPr>
          <w:b/>
          <w:spacing w:val="-1"/>
          <w:lang w:val="it-IT"/>
        </w:rPr>
        <w:t>dell'alcol</w:t>
      </w:r>
      <w:r>
        <w:rPr>
          <w:b/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6"/>
          <w:lang w:val="it-IT"/>
        </w:rPr>
        <w:t xml:space="preserve"> </w:t>
      </w:r>
      <w:r>
        <w:rPr>
          <w:b/>
          <w:spacing w:val="-1"/>
          <w:lang w:val="it-IT"/>
        </w:rPr>
        <w:t>caffeina</w:t>
      </w:r>
      <w:r>
        <w:rPr>
          <w:spacing w:val="-1"/>
          <w:lang w:val="it-IT"/>
        </w:rPr>
        <w:t>.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scoprirai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46"/>
          <w:w w:val="99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verranno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dato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raccomandazioni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adatte.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3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spacing w:val="-1"/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bookmarkStart w:id="9" w:name="_Hlk83979830"/>
      <w:r>
        <w:rPr>
          <w:b w:val="false"/>
          <w:bCs w:val="false"/>
          <w:spacing w:val="-8"/>
          <w:lang w:val="it-IT"/>
        </w:rPr>
        <w:t>PREDISPOSIZIONE GENETICA AD UNA ELEVATA  SENSIBILITA' ALLA CAFFEINA E ALL’INTOLLERANZA AL GLUTINE (DQ2.2/DQ7.5).</w:t>
      </w:r>
      <w:bookmarkEnd w:id="9"/>
    </w:p>
    <w:p>
      <w:pPr>
        <w:pStyle w:val="Heading3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Heading3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  <w:bookmarkStart w:id="10" w:name="_Hlk83979809"/>
      <w:bookmarkStart w:id="11" w:name="_Hlk83979809"/>
      <w:bookmarkEnd w:id="11"/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ALDH2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Alcool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LCT (MCM6)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Lattosio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TNF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FLG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WT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del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WT/del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HLADQA1-B1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Normale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Rischio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DQ2.2/DQ7.5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Glutine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8"/>
        <w:gridCol w:w="2427"/>
        <w:gridCol w:w="2348"/>
        <w:gridCol w:w="1348"/>
        <w:gridCol w:w="2429"/>
      </w:tblGrid>
      <w:tr>
        <w:trPr>
          <w:trHeight w:val="454" w:hRule="atLeast"/>
        </w:trPr>
        <w:tc>
          <w:tcPr>
            <w:tcW w:w="1798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29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rFonts w:ascii="Arial" w:hAnsi="Arial" w:eastAsia="Arial" w:cs="" w:cstheme="minorBidi"/>
                <w:b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4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rFonts w:ascii="Arial" w:hAnsi="Arial" w:eastAsia="Arial" w:cs="" w:cstheme="minorBidi"/>
                <w:b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4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2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798"/>
            <w:shd w:fill="92CF50"/>
          </w:tcPr>
          <w:p>
            <w:r>
              <w:rPr>
                <w:b/>
                <w:color w:val="FFFFFF"/>
              </w:rPr>
              <w:t>CYP1A2</w:t>
            </w:r>
          </w:p>
        </w:tc>
        <w:tc>
          <w:tcPr>
            <w:tcW w:type="dxa" w:w="242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34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348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2429"/>
          </w:tcPr>
          <w:p>
            <w:pPr>
              <w:jc w:val="center"/>
            </w:pPr>
            <w:r>
              <w:rPr>
                <w:rFonts w:ascii="Arial" w:hAnsi="Arial"/>
              </w:rPr>
              <w:t>Caffeina</w:t>
            </w:r>
          </w:p>
        </w:tc>
      </w:tr>
    </w:tbl>
    <w:p>
      <w:pPr>
        <w:pStyle w:val="Normal"/>
        <w:spacing w:before="11" w:after="0"/>
        <w:ind w:left="0" w:hanging="0"/>
        <w:jc w:val="both"/>
        <w:rPr>
          <w:rFonts w:ascii="Arial" w:hAnsi="Arial" w:eastAsia="Arial" w:cs="Arial"/>
          <w:b w:val="false"/>
          <w:b w:val="false"/>
          <w:bCs w:val="false"/>
          <w:sz w:val="19"/>
          <w:szCs w:val="19"/>
          <w:lang w:val="it-IT"/>
        </w:rPr>
      </w:pPr>
      <w:r>
        <w:rPr>
          <w:rFonts w:eastAsia="Arial" w:cs="Arial" w:ascii="Arial" w:hAnsi="Arial"/>
          <w:b w:val="false"/>
          <w:bCs w:val="false"/>
          <w:sz w:val="19"/>
          <w:szCs w:val="19"/>
          <w:lang w:val="it-IT"/>
        </w:rPr>
      </w:r>
      <w:r>
        <w:br w:type="page"/>
      </w:r>
    </w:p>
    <w:p>
      <w:pPr>
        <w:pStyle w:val="Normal"/>
        <w:spacing w:lineRule="auto" w:line="276" w:before="69" w:after="0"/>
        <w:ind w:left="108" w:right="-30" w:hanging="0"/>
        <w:jc w:val="center"/>
        <w:rPr>
          <w:rFonts w:ascii="Arial" w:hAnsi="Arial"/>
          <w:b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  <w:t>INFLUENZA</w:t>
      </w:r>
      <w:r>
        <w:rPr>
          <w:rFonts w:ascii="Arial" w:hAnsi="Arial"/>
          <w:b/>
          <w:color w:val="E32C5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GENETICA NELL'ASSORBIMENTO </w:t>
        <w:br/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24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NEL METABOLISMO DI MINERALI </w:t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 VITAMINE</w:t>
      </w:r>
      <w:bookmarkStart w:id="12" w:name="_Hlk83979922"/>
      <w:bookmarkEnd w:id="12"/>
    </w:p>
    <w:p>
      <w:pPr>
        <w:pStyle w:val="Normal"/>
        <w:spacing w:lineRule="auto" w:line="276" w:before="69" w:after="0"/>
        <w:ind w:left="2514" w:right="2432" w:hanging="142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TextBody"/>
        <w:spacing w:before="2" w:after="0"/>
        <w:ind w:left="0" w:hanging="0"/>
        <w:jc w:val="both"/>
        <w:rPr>
          <w:lang w:val="it-IT"/>
        </w:rPr>
      </w:pPr>
      <w:r>
        <w:rPr>
          <w:lang w:val="it-IT"/>
        </w:rPr>
        <w:t>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micronutrienti,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2"/>
          <w:lang w:val="it-IT"/>
        </w:rPr>
        <w:t>includono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vitamine</w:t>
      </w:r>
      <w:r>
        <w:rPr>
          <w:b/>
          <w:spacing w:val="-5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minerali</w:t>
      </w:r>
      <w:r>
        <w:rPr>
          <w:spacing w:val="-1"/>
          <w:lang w:val="it-IT"/>
        </w:rPr>
        <w:t>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vitali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-5"/>
          <w:lang w:val="it-IT"/>
        </w:rPr>
        <w:t xml:space="preserve"> </w:t>
      </w:r>
      <w:r>
        <w:rPr>
          <w:spacing w:val="-2"/>
          <w:lang w:val="it-IT"/>
        </w:rPr>
        <w:t>salute.</w:t>
      </w:r>
    </w:p>
    <w:p>
      <w:pPr>
        <w:pStyle w:val="Normal"/>
        <w:spacing w:before="2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TextBody"/>
        <w:spacing w:lineRule="auto" w:line="271"/>
        <w:ind w:left="0" w:right="99" w:hanging="0"/>
        <w:jc w:val="both"/>
        <w:rPr>
          <w:lang w:val="it-IT"/>
        </w:rPr>
      </w:pP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essenziali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funzionamento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organismo;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migliorano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benessere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aiutano</w:t>
      </w:r>
      <w:r>
        <w:rPr>
          <w:spacing w:val="9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prevenire</w:t>
      </w:r>
      <w:r>
        <w:rPr>
          <w:spacing w:val="35"/>
          <w:w w:val="99"/>
          <w:lang w:val="it-IT"/>
        </w:rPr>
        <w:t xml:space="preserve"> </w:t>
      </w:r>
      <w:r>
        <w:rPr>
          <w:spacing w:val="-1"/>
          <w:lang w:val="it-IT"/>
        </w:rPr>
        <w:t>molte</w:t>
      </w:r>
      <w:r>
        <w:rPr>
          <w:spacing w:val="36"/>
          <w:lang w:val="it-IT"/>
        </w:rPr>
        <w:t xml:space="preserve"> </w:t>
      </w:r>
      <w:r>
        <w:rPr>
          <w:spacing w:val="-2"/>
          <w:lang w:val="it-IT"/>
        </w:rPr>
        <w:t>malattie.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fabbisogno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giornaliero</w:t>
      </w:r>
      <w:r>
        <w:rPr>
          <w:spacing w:val="35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determinato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numerosi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fattori</w:t>
      </w:r>
      <w:r>
        <w:rPr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questi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corredo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genetico.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Possiamo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ottenere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quasi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tutte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vitamine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15"/>
          <w:lang w:val="it-IT"/>
        </w:rPr>
        <w:t xml:space="preserve"> </w:t>
      </w:r>
      <w:r>
        <w:rPr>
          <w:lang w:val="it-IT"/>
        </w:rPr>
        <w:t>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minerali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cibo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normale.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Tuttavia,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essere leggermente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difficile nel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caso in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siamo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inclini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mancanza.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capitolo,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riveleremo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livelli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lang w:val="it-IT"/>
        </w:rPr>
        <w:t>B9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(acido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folico),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8"/>
          <w:lang w:val="it-IT"/>
        </w:rPr>
        <w:t xml:space="preserve"> </w:t>
      </w:r>
      <w:r>
        <w:rPr>
          <w:b/>
          <w:lang w:val="it-IT"/>
        </w:rPr>
        <w:t>D</w:t>
      </w:r>
      <w:r>
        <w:rPr>
          <w:lang w:val="it-IT"/>
        </w:rPr>
        <w:t>,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B12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minerali,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b/>
          <w:spacing w:val="-1"/>
          <w:lang w:val="it-IT"/>
        </w:rPr>
        <w:t>ferro</w:t>
      </w:r>
      <w:r>
        <w:rPr>
          <w:spacing w:val="-1"/>
          <w:lang w:val="it-IT"/>
        </w:rPr>
        <w:t>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44"/>
          <w:w w:val="99"/>
          <w:lang w:val="it-IT"/>
        </w:rPr>
        <w:t xml:space="preserve"> </w:t>
      </w:r>
      <w:r>
        <w:rPr>
          <w:spacing w:val="-1"/>
          <w:lang w:val="it-IT"/>
        </w:rPr>
        <w:t>potrebbero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influenzati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dai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tuoi</w:t>
      </w:r>
      <w:r>
        <w:rPr>
          <w:spacing w:val="-8"/>
          <w:lang w:val="it-IT"/>
        </w:rPr>
        <w:t xml:space="preserve"> </w:t>
      </w:r>
      <w:r>
        <w:rPr>
          <w:spacing w:val="-2"/>
          <w:lang w:val="it-IT"/>
        </w:rPr>
        <w:t>geni.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3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11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color w:val="008080"/>
          <w:spacing w:val="-1"/>
          <w:lang w:val="it-IT"/>
        </w:rPr>
        <w:t xml:space="preserve"> </w:t>
      </w:r>
      <w:bookmarkStart w:id="13" w:name="_Hlk83979936"/>
      <w:r>
        <w:rPr>
          <w:rFonts w:cs="Arial"/>
          <w:b w:val="false"/>
          <w:bCs w:val="false"/>
          <w:lang w:val="it-IT"/>
        </w:rPr>
        <w:t>PREDISPOSIZIONE GENETICA ALLA CARENZA DI VITAMINA D. Si consiglia di controllare i valori di Vitamina D.</w:t>
      </w:r>
      <w:bookmarkEnd w:id="13"/>
    </w:p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40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7"/>
        <w:gridCol w:w="1356"/>
        <w:gridCol w:w="2176"/>
        <w:gridCol w:w="1350"/>
        <w:gridCol w:w="3093"/>
      </w:tblGrid>
      <w:tr>
        <w:trPr>
          <w:trHeight w:val="454" w:hRule="atLeast"/>
        </w:trPr>
        <w:tc>
          <w:tcPr>
            <w:tcW w:w="2427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882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093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242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5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7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35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093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14" w:name="_Hlk83979968"/>
            <w:bookmarkStart w:id="15" w:name="_Hlk83979968"/>
            <w:bookmarkEnd w:id="15"/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DHCR7/NADSYN1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FUT2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B12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B9 (Acido Folico)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B9 (Acido Folico)</w:t>
            </w:r>
          </w:p>
        </w:tc>
      </w:tr>
    </w:tbl>
    <w:p>
      <w:pPr>
        <w:pStyle w:val="Normal"/>
        <w:spacing w:before="10" w:after="0"/>
        <w:rPr>
          <w:rFonts w:ascii="Arial" w:hAnsi="Arial" w:eastAsia="Arial" w:cs="Arial"/>
          <w:b/>
          <w:b/>
          <w:bCs/>
          <w:sz w:val="21"/>
          <w:szCs w:val="21"/>
        </w:rPr>
      </w:pPr>
      <w:r>
        <w:rPr>
          <w:rFonts w:eastAsia="Arial" w:cs="Arial" w:ascii="Arial" w:hAnsi="Arial"/>
          <w:b/>
          <w:bCs/>
          <w:sz w:val="21"/>
          <w:szCs w:val="21"/>
        </w:rPr>
      </w:r>
      <w:r>
        <w:br w:type="page"/>
      </w:r>
    </w:p>
    <w:p>
      <w:pPr>
        <w:pStyle w:val="Normal"/>
        <w:spacing w:before="59" w:after="0"/>
        <w:ind w:left="108" w:hanging="0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4" w:after="0"/>
        <w:rPr>
          <w:rFonts w:ascii="Calibri" w:hAnsi="Calibri" w:eastAsia="Calibri" w:cs="Calibri"/>
          <w:b/>
          <w:b/>
          <w:bCs/>
          <w:sz w:val="13"/>
          <w:szCs w:val="13"/>
          <w:lang w:val="it-IT"/>
        </w:rPr>
      </w:pPr>
      <w:r>
        <w:rPr>
          <w:rFonts w:eastAsia="Calibri" w:cs="Calibri"/>
          <w:b/>
          <w:bCs/>
          <w:sz w:val="13"/>
          <w:szCs w:val="13"/>
          <w:lang w:val="it-IT"/>
        </w:rPr>
      </w:r>
    </w:p>
    <w:p>
      <w:pPr>
        <w:pStyle w:val="TextBody"/>
        <w:spacing w:lineRule="auto" w:line="271" w:before="74" w:after="0"/>
        <w:ind w:left="108" w:right="118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contempla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studio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mirato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sole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variazioni</w:t>
      </w:r>
      <w:r>
        <w:rPr>
          <w:spacing w:val="42"/>
          <w:lang w:val="it-IT"/>
        </w:rPr>
        <w:t xml:space="preserve"> </w:t>
      </w:r>
      <w:r>
        <w:rPr>
          <w:spacing w:val="-2"/>
          <w:lang w:val="it-IT"/>
        </w:rPr>
        <w:t>genetiche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corresponsabilità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nell'insorgenza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7"/>
          <w:w w:val="99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complesse</w:t>
      </w:r>
      <w:r>
        <w:rPr>
          <w:spacing w:val="1"/>
          <w:lang w:val="it-IT"/>
        </w:rPr>
        <w:t xml:space="preserve"> </w:t>
      </w:r>
      <w:r>
        <w:rPr>
          <w:lang w:val="it-IT"/>
        </w:rPr>
        <w:t>(es.</w:t>
      </w:r>
      <w:r>
        <w:rPr>
          <w:spacing w:val="54"/>
          <w:lang w:val="it-IT"/>
        </w:rPr>
        <w:t xml:space="preserve"> </w:t>
      </w:r>
      <w:r>
        <w:rPr>
          <w:spacing w:val="-1"/>
          <w:lang w:val="it-IT"/>
        </w:rPr>
        <w:t>Obesità,</w:t>
      </w:r>
      <w:r>
        <w:rPr>
          <w:spacing w:val="1"/>
          <w:lang w:val="it-IT"/>
        </w:rPr>
        <w:t xml:space="preserve"> </w:t>
      </w:r>
      <w:r>
        <w:rPr>
          <w:spacing w:val="-2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55"/>
          <w:lang w:val="it-IT"/>
        </w:rPr>
        <w:t xml:space="preserve"> </w:t>
      </w:r>
      <w:r>
        <w:rPr>
          <w:spacing w:val="-1"/>
          <w:lang w:val="it-IT"/>
        </w:rPr>
        <w:t>2,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cardiovascolari)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vi</w:t>
      </w:r>
      <w:r>
        <w:rPr>
          <w:spacing w:val="5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sostegno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estesa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letteratura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scientifica.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rappresenta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utilissimo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strumento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ai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fini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benessere.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però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sottolineato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22"/>
          <w:lang w:val="it-IT"/>
        </w:rPr>
        <w:t xml:space="preserve"> </w:t>
      </w:r>
      <w:r>
        <w:rPr>
          <w:b/>
          <w:lang w:val="it-IT"/>
        </w:rPr>
        <w:t>rappresenta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una</w:t>
      </w:r>
      <w:r>
        <w:rPr>
          <w:b/>
          <w:spacing w:val="20"/>
          <w:lang w:val="it-IT"/>
        </w:rPr>
        <w:t xml:space="preserve"> </w:t>
      </w:r>
      <w:r>
        <w:rPr>
          <w:b/>
          <w:lang w:val="it-IT"/>
        </w:rPr>
        <w:t>diagnosi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clinica,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pertanto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sostituisce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il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parere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spacing w:val="-1"/>
          <w:lang w:val="it-IT"/>
        </w:rPr>
        <w:t>.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risultati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devono</w:t>
      </w:r>
      <w:r>
        <w:rPr>
          <w:spacing w:val="28"/>
          <w:w w:val="9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valutati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approvati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luce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storia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anamnestica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personale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su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verifica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curante</w:t>
      </w:r>
      <w:r>
        <w:rPr>
          <w:spacing w:val="-1"/>
          <w:lang w:val="it-IT"/>
        </w:rPr>
        <w:t>.</w:t>
      </w:r>
    </w:p>
    <w:p>
      <w:pPr>
        <w:pStyle w:val="Normal"/>
        <w:spacing w:before="5" w:after="0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TextBody"/>
        <w:jc w:val="both"/>
        <w:rPr>
          <w:lang w:val="it-IT"/>
        </w:rPr>
      </w:pPr>
      <w:r>
        <w:rPr>
          <w:spacing w:val="-1"/>
          <w:lang w:val="it-IT"/>
        </w:rPr>
        <w:t>N.B.L'elenco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Heading3"/>
        <w:jc w:val="both"/>
        <w:rPr>
          <w:b w:val="false"/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14"/>
          <w:szCs w:val="14"/>
          <w:lang w:val="it-IT"/>
        </w:rPr>
      </w:pPr>
      <w:r>
        <w:rPr>
          <w:rFonts w:eastAsia="Arial" w:cs="Arial" w:ascii="Arial" w:hAnsi="Arial"/>
          <w:b/>
          <w:bCs/>
          <w:sz w:val="14"/>
          <w:szCs w:val="14"/>
          <w:lang w:val="it-IT"/>
        </w:rPr>
      </w:r>
    </w:p>
    <w:p>
      <w:pPr>
        <w:pStyle w:val="Normal"/>
        <w:spacing w:before="80" w:after="0"/>
        <w:ind w:left="108" w:hanging="0"/>
        <w:rPr>
          <w:sz w:val="16"/>
          <w:szCs w:val="16"/>
        </w:rPr>
      </w:pPr>
      <w:r>
        <w:rPr>
          <w:rFonts w:ascii="Arial" w:hAnsi="Arial"/>
          <w:b/>
          <w:i/>
          <w:spacing w:val="-1"/>
          <w:sz w:val="16"/>
          <w:szCs w:val="16"/>
          <w:lang w:val="it-IT"/>
        </w:rPr>
        <w:t>Bibliografia</w:t>
      </w:r>
    </w:p>
    <w:p>
      <w:pPr>
        <w:pStyle w:val="Normal"/>
        <w:spacing w:before="10" w:after="0"/>
        <w:rPr>
          <w:rFonts w:ascii="Arial" w:hAnsi="Arial" w:eastAsia="Arial" w:cs="Arial"/>
          <w:b/>
          <w:b/>
          <w:bCs/>
          <w:i/>
          <w:i/>
          <w:sz w:val="16"/>
          <w:szCs w:val="16"/>
          <w:lang w:val="it-IT"/>
        </w:rPr>
      </w:pPr>
      <w:r>
        <w:rPr>
          <w:rFonts w:eastAsia="Arial" w:cs="Arial" w:ascii="Arial" w:hAnsi="Arial"/>
          <w:b/>
          <w:bCs/>
          <w:i/>
          <w:sz w:val="16"/>
          <w:szCs w:val="16"/>
          <w:lang w:val="it-IT"/>
        </w:rPr>
      </w:r>
    </w:p>
    <w:p>
      <w:pPr>
        <w:pStyle w:val="Normal"/>
        <w:spacing w:lineRule="auto" w:line="240"/>
        <w:ind w:left="108" w:right="112" w:hanging="0"/>
        <w:rPr>
          <w:sz w:val="16"/>
          <w:szCs w:val="16"/>
        </w:rPr>
      </w:pPr>
      <w:r>
        <w:rPr>
          <w:rFonts w:eastAsia="Arial" w:cs="Arial" w:ascii="Arial" w:hAnsi="Arial"/>
          <w:spacing w:val="-1"/>
          <w:sz w:val="16"/>
          <w:szCs w:val="16"/>
          <w:lang w:val="en-NZ"/>
        </w:rPr>
        <w:t>Liù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CC,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 xml:space="preserve">Liu </w:t>
      </w:r>
      <w:r>
        <w:rPr>
          <w:rFonts w:eastAsia="Arial" w:cs="Arial" w:ascii="Arial" w:hAnsi="Arial"/>
          <w:sz w:val="16"/>
          <w:szCs w:val="16"/>
          <w:lang w:val="en-NZ"/>
        </w:rPr>
        <w:t>CC,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 xml:space="preserve"> Kanekiyo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T,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Xu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H,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 xml:space="preserve"> Bu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G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(February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2013).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14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Apolipoprotein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 xml:space="preserve">E </w:t>
      </w:r>
      <w:r>
        <w:rPr>
          <w:rFonts w:eastAsia="Arial" w:cs="Arial" w:ascii="Arial" w:hAnsi="Arial"/>
          <w:i/>
          <w:spacing w:val="-1"/>
          <w:sz w:val="16"/>
          <w:szCs w:val="16"/>
        </w:rPr>
        <w:t>and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Alzheimer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disease: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risk,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mechanisms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and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therapy</w:t>
      </w:r>
      <w:r>
        <w:rPr>
          <w:rFonts w:eastAsia="Arial" w:cs="Arial" w:ascii="Arial" w:hAnsi="Arial"/>
          <w:i/>
          <w:spacing w:val="1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>.</w:t>
      </w:r>
      <w:r>
        <w:rPr>
          <w:rFonts w:eastAsia="Arial" w:cs="Arial" w:ascii="Arial" w:hAnsi="Arial"/>
          <w:i/>
          <w:spacing w:val="4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Nature</w:t>
      </w:r>
      <w:r>
        <w:rPr>
          <w:rFonts w:eastAsia="Arial" w:cs="Arial" w:ascii="Arial" w:hAnsi="Arial"/>
          <w:spacing w:val="94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Reviews.</w:t>
      </w:r>
      <w:r>
        <w:rPr>
          <w:rFonts w:eastAsia="Arial" w:cs="Arial" w:ascii="Arial" w:hAnsi="Arial"/>
          <w:spacing w:val="-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Neurology.9(2):</w:t>
      </w:r>
      <w:r>
        <w:rPr>
          <w:rFonts w:eastAsia="Arial" w:cs="Arial" w:ascii="Arial" w:hAnsi="Arial"/>
          <w:spacing w:val="-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106–18.</w:t>
      </w:r>
    </w:p>
    <w:p>
      <w:pPr>
        <w:pStyle w:val="Normal"/>
        <w:spacing w:lineRule="auto" w:line="240" w:before="3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168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Dana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Simona Chita,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Anca Tudor, Ruxandra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Christodorescu </w:t>
      </w:r>
      <w:r>
        <w:rPr>
          <w:rFonts w:ascii="Arial" w:hAnsi="Arial"/>
          <w:sz w:val="16"/>
          <w:szCs w:val="16"/>
        </w:rPr>
        <w:t>et</w:t>
      </w:r>
      <w:r>
        <w:rPr>
          <w:rFonts w:ascii="Arial" w:hAnsi="Arial"/>
          <w:spacing w:val="-1"/>
          <w:sz w:val="16"/>
          <w:szCs w:val="16"/>
        </w:rPr>
        <w:t xml:space="preserve"> al</w:t>
      </w:r>
      <w:r>
        <w:rPr>
          <w:rFonts w:ascii="Arial" w:hAnsi="Arial"/>
          <w:spacing w:val="4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MTHFR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Prevalence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Cardiovascular Risk Factors</w:t>
      </w:r>
      <w:r>
        <w:rPr>
          <w:rFonts w:ascii="Arial" w:hAnsi="Arial"/>
          <w:i/>
          <w:spacing w:val="88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Involved</w:t>
      </w:r>
      <w:r>
        <w:rPr>
          <w:rFonts w:ascii="Arial" w:hAnsi="Arial"/>
          <w:i/>
          <w:sz w:val="16"/>
          <w:szCs w:val="16"/>
        </w:rPr>
        <w:t xml:space="preserve"> in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Cardioembolic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Stroke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Type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Severity.</w:t>
      </w:r>
      <w:r>
        <w:rPr>
          <w:rFonts w:ascii="Arial" w:hAnsi="Arial"/>
          <w:i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Brain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Sci. 2020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Aug; 10(8): 476.</w:t>
      </w:r>
    </w:p>
    <w:p>
      <w:pPr>
        <w:pStyle w:val="Normal"/>
        <w:spacing w:lineRule="auto" w:line="240" w:before="7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257" w:hanging="0"/>
        <w:rPr>
          <w:sz w:val="16"/>
          <w:szCs w:val="16"/>
        </w:rPr>
      </w:pPr>
      <w:r>
        <w:rPr>
          <w:rFonts w:eastAsia="Arial" w:cs="Arial" w:ascii="Arial" w:hAnsi="Arial"/>
          <w:spacing w:val="-1"/>
          <w:sz w:val="16"/>
          <w:szCs w:val="16"/>
        </w:rPr>
        <w:t>A.Georgopoulos,</w:t>
      </w:r>
      <w:r>
        <w:rPr>
          <w:rFonts w:eastAsia="Arial" w:cs="Arial" w:ascii="Arial" w:hAnsi="Arial"/>
          <w:sz w:val="16"/>
          <w:szCs w:val="16"/>
        </w:rPr>
        <w:t xml:space="preserve"> H. </w:t>
      </w:r>
      <w:r>
        <w:rPr>
          <w:rFonts w:eastAsia="Arial" w:cs="Arial" w:ascii="Arial" w:hAnsi="Arial"/>
          <w:spacing w:val="-1"/>
          <w:sz w:val="16"/>
          <w:szCs w:val="16"/>
        </w:rPr>
        <w:t>Bloomfield,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D.</w:t>
      </w:r>
      <w:r>
        <w:rPr>
          <w:rFonts w:eastAsia="Arial" w:cs="Arial" w:ascii="Arial" w:hAnsi="Arial"/>
          <w:spacing w:val="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Collins</w:t>
      </w:r>
      <w:r>
        <w:rPr>
          <w:rFonts w:eastAsia="Arial" w:cs="Arial" w:ascii="Arial" w:hAnsi="Arial"/>
          <w:sz w:val="16"/>
          <w:szCs w:val="16"/>
        </w:rPr>
        <w:t xml:space="preserve"> et </w:t>
      </w:r>
      <w:r>
        <w:rPr>
          <w:rFonts w:eastAsia="Arial" w:cs="Arial" w:ascii="Arial" w:hAnsi="Arial"/>
          <w:spacing w:val="-1"/>
          <w:sz w:val="16"/>
          <w:szCs w:val="16"/>
        </w:rPr>
        <w:t>al.,</w:t>
      </w:r>
      <w:r>
        <w:rPr>
          <w:rFonts w:eastAsia="Arial" w:cs="Arial" w:ascii="Arial" w:hAnsi="Arial"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“Codon</w:t>
      </w:r>
      <w:r>
        <w:rPr>
          <w:rFonts w:eastAsia="Arial" w:cs="Arial" w:ascii="Arial" w:hAnsi="Arial"/>
          <w:i/>
          <w:sz w:val="16"/>
          <w:szCs w:val="16"/>
        </w:rPr>
        <w:t xml:space="preserve"> 54 </w:t>
      </w:r>
      <w:r>
        <w:rPr>
          <w:rFonts w:eastAsia="Arial" w:cs="Arial" w:ascii="Arial" w:hAnsi="Arial"/>
          <w:i/>
          <w:spacing w:val="-1"/>
          <w:sz w:val="16"/>
          <w:szCs w:val="16"/>
        </w:rPr>
        <w:t>polymorphism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of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fatty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acid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binding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protein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(FABP)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 xml:space="preserve">2 </w:t>
      </w:r>
      <w:r>
        <w:rPr>
          <w:rFonts w:eastAsia="Arial" w:cs="Arial" w:ascii="Arial" w:hAnsi="Arial"/>
          <w:i/>
          <w:spacing w:val="-1"/>
          <w:sz w:val="16"/>
          <w:szCs w:val="16"/>
        </w:rPr>
        <w:t>gene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associated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with</w:t>
      </w:r>
      <w:r>
        <w:rPr>
          <w:rFonts w:eastAsia="Arial" w:cs="Arial" w:ascii="Arial" w:hAnsi="Arial"/>
          <w:i/>
          <w:spacing w:val="99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increased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cardiovascular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risk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dyslipidemic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diabetic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participants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of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Veterans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Affairs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HDL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intervention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trial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(VA-HIT),”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Atherosclerosis,</w:t>
      </w:r>
      <w:r>
        <w:rPr>
          <w:rFonts w:eastAsia="Arial" w:cs="Arial" w:ascii="Arial" w:hAnsi="Arial"/>
          <w:spacing w:val="123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vol. 194,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no. 1,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pp. 169–174, 2007.</w:t>
      </w:r>
    </w:p>
    <w:p>
      <w:pPr>
        <w:pStyle w:val="Normal"/>
        <w:spacing w:lineRule="auto" w:line="240" w:before="6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257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 xml:space="preserve">Chun-Jian Qiu </w:t>
      </w:r>
      <w:r>
        <w:rPr>
          <w:rFonts w:ascii="Arial" w:hAnsi="Arial"/>
          <w:sz w:val="16"/>
          <w:szCs w:val="16"/>
        </w:rPr>
        <w:t>,</w:t>
      </w:r>
      <w:r>
        <w:rPr>
          <w:rFonts w:ascii="Arial" w:hAnsi="Arial"/>
          <w:spacing w:val="-1"/>
          <w:sz w:val="16"/>
          <w:szCs w:val="16"/>
        </w:rPr>
        <w:t xml:space="preserve"> Xiao-Zheng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Ye, Xiao-Juan Yu, Xiao-Ren Peng, Tong-Huan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Li.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Association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between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FABP2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Ala54Thr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polymorphisms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type</w:t>
      </w:r>
      <w:r>
        <w:rPr>
          <w:rFonts w:ascii="Arial" w:hAnsi="Arial"/>
          <w:i/>
          <w:spacing w:val="100"/>
          <w:sz w:val="16"/>
          <w:szCs w:val="16"/>
        </w:rPr>
        <w:t xml:space="preserve"> </w:t>
      </w:r>
      <w:r>
        <w:rPr>
          <w:rFonts w:ascii="Arial" w:hAnsi="Arial"/>
          <w:i/>
          <w:sz w:val="16"/>
          <w:szCs w:val="16"/>
        </w:rPr>
        <w:t>2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diabetes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mellitus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risk:</w:t>
      </w:r>
      <w:r>
        <w:rPr>
          <w:rFonts w:ascii="Arial" w:hAnsi="Arial"/>
          <w:i/>
          <w:sz w:val="16"/>
          <w:szCs w:val="16"/>
        </w:rPr>
        <w:t xml:space="preserve"> a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HuGE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Review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Meta-Analysis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sz w:val="16"/>
          <w:szCs w:val="16"/>
        </w:rPr>
        <w:t>J</w:t>
      </w:r>
      <w:r>
        <w:rPr>
          <w:rFonts w:ascii="Arial" w:hAnsi="Arial"/>
          <w:spacing w:val="-1"/>
          <w:sz w:val="16"/>
          <w:szCs w:val="16"/>
        </w:rPr>
        <w:t xml:space="preserve"> Cell Mol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Med. 2014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Dec;18(12):2530-5.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168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Dayana Rodrigues Farias,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Nadya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Helena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Alves-Santos,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Ilana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Eshriqui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et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al.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Leptin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 polymorphism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(rs7799039; G2548A)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is associated with</w:t>
      </w:r>
      <w:r>
        <w:rPr>
          <w:rFonts w:ascii="Arial" w:hAnsi="Arial"/>
          <w:i/>
          <w:spacing w:val="13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 xml:space="preserve">changes </w:t>
      </w:r>
      <w:r>
        <w:rPr>
          <w:rFonts w:ascii="Arial" w:hAnsi="Arial"/>
          <w:i/>
          <w:sz w:val="16"/>
          <w:szCs w:val="16"/>
        </w:rPr>
        <w:t xml:space="preserve">in </w:t>
      </w:r>
      <w:r>
        <w:rPr>
          <w:rFonts w:ascii="Arial" w:hAnsi="Arial"/>
          <w:i/>
          <w:spacing w:val="-1"/>
          <w:sz w:val="16"/>
          <w:szCs w:val="16"/>
        </w:rPr>
        <w:t>serum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lipid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concentrations during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pregnancy:</w:t>
      </w:r>
      <w:r>
        <w:rPr>
          <w:rFonts w:ascii="Arial" w:hAnsi="Arial"/>
          <w:i/>
          <w:sz w:val="16"/>
          <w:szCs w:val="16"/>
        </w:rPr>
        <w:t xml:space="preserve"> a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prospective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cohort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study.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Eur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z w:val="16"/>
          <w:szCs w:val="16"/>
        </w:rPr>
        <w:t>J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Nutr. 2020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Aug;59(5):1999-2009.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168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Crider et al. (2011).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MTHFR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677C-&gt;T genotype is associated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with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folate and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homocysteine</w:t>
      </w:r>
      <w:r>
        <w:rPr>
          <w:rFonts w:ascii="Arial" w:hAnsi="Arial"/>
          <w:i/>
          <w:sz w:val="16"/>
          <w:szCs w:val="16"/>
        </w:rPr>
        <w:t xml:space="preserve"> concentrations</w:t>
      </w:r>
      <w:r>
        <w:rPr>
          <w:rFonts w:ascii="Arial" w:hAnsi="Arial"/>
          <w:i/>
          <w:spacing w:val="-1"/>
          <w:sz w:val="16"/>
          <w:szCs w:val="16"/>
        </w:rPr>
        <w:t xml:space="preserve"> in</w:t>
      </w:r>
      <w:r>
        <w:rPr>
          <w:rFonts w:ascii="Arial" w:hAnsi="Arial"/>
          <w:i/>
          <w:sz w:val="16"/>
          <w:szCs w:val="16"/>
        </w:rPr>
        <w:t xml:space="preserve"> a </w:t>
      </w:r>
      <w:r>
        <w:rPr>
          <w:rFonts w:ascii="Arial" w:hAnsi="Arial"/>
          <w:i/>
          <w:spacing w:val="-1"/>
          <w:sz w:val="16"/>
          <w:szCs w:val="16"/>
        </w:rPr>
        <w:t>large,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population-based, double-</w:t>
      </w:r>
      <w:r>
        <w:rPr>
          <w:rFonts w:ascii="Arial" w:hAnsi="Arial"/>
          <w:i/>
          <w:spacing w:val="60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blind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trial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of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folic acid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supplementation.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Am </w:t>
      </w:r>
      <w:r>
        <w:rPr>
          <w:rFonts w:ascii="Arial" w:hAnsi="Arial"/>
          <w:sz w:val="16"/>
          <w:szCs w:val="16"/>
        </w:rPr>
        <w:t>J</w:t>
      </w:r>
      <w:r>
        <w:rPr>
          <w:rFonts w:ascii="Arial" w:hAnsi="Arial"/>
          <w:spacing w:val="-1"/>
          <w:sz w:val="16"/>
          <w:szCs w:val="16"/>
        </w:rPr>
        <w:t xml:space="preserve"> Clin Nutr. 93(6):1365-1372.</w:t>
      </w:r>
    </w:p>
    <w:p>
      <w:pPr>
        <w:pStyle w:val="Normal"/>
        <w:spacing w:lineRule="auto" w:line="240" w:before="6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168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Chibo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Liu </w:t>
      </w:r>
      <w:r>
        <w:rPr>
          <w:rFonts w:ascii="Arial" w:hAnsi="Arial"/>
          <w:sz w:val="16"/>
          <w:szCs w:val="16"/>
        </w:rPr>
        <w:t xml:space="preserve">, </w:t>
      </w:r>
      <w:r>
        <w:rPr>
          <w:rFonts w:ascii="Arial" w:hAnsi="Arial"/>
          <w:spacing w:val="-1"/>
          <w:sz w:val="16"/>
          <w:szCs w:val="16"/>
        </w:rPr>
        <w:t>Sihua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Mou,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Chunqin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Pan.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FTO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rs9939609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predicts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risk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of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cardiovascular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disease:</w:t>
      </w:r>
      <w:r>
        <w:rPr>
          <w:rFonts w:ascii="Arial" w:hAnsi="Arial"/>
          <w:i/>
          <w:sz w:val="16"/>
          <w:szCs w:val="16"/>
        </w:rPr>
        <w:t xml:space="preserve"> a </w:t>
      </w:r>
      <w:r>
        <w:rPr>
          <w:rFonts w:ascii="Arial" w:hAnsi="Arial"/>
          <w:i/>
          <w:spacing w:val="-1"/>
          <w:sz w:val="16"/>
          <w:szCs w:val="16"/>
        </w:rPr>
        <w:t>systematic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review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56"/>
          <w:sz w:val="16"/>
          <w:szCs w:val="16"/>
        </w:rPr>
        <w:t xml:space="preserve"> </w:t>
      </w:r>
      <w:r>
        <w:rPr>
          <w:rFonts w:ascii="Arial" w:hAnsi="Arial"/>
          <w:i/>
          <w:sz w:val="16"/>
          <w:szCs w:val="16"/>
        </w:rPr>
        <w:t>meta-analysis.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PLoS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One. 2013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Aug 19;8(8):e71901.</w:t>
      </w:r>
    </w:p>
    <w:p>
      <w:pPr>
        <w:pStyle w:val="Normal"/>
        <w:spacing w:lineRule="auto" w:line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257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Warodomwichit et al. (2009).</w:t>
      </w:r>
      <w:r>
        <w:rPr>
          <w:rFonts w:ascii="Arial" w:hAnsi="Arial"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ADIPOQ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polymorphisms,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monounsaturated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fatty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acids,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obesity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risk: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GOLDN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study.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Obesity 17(3): 510-</w:t>
      </w:r>
      <w:r>
        <w:rPr>
          <w:rFonts w:ascii="Arial" w:hAnsi="Arial"/>
          <w:spacing w:val="10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517</w:t>
      </w:r>
    </w:p>
    <w:p>
      <w:pPr>
        <w:pStyle w:val="Normal"/>
        <w:spacing w:lineRule="auto" w:line="240" w:before="2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596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 xml:space="preserve">Hivert </w:t>
      </w:r>
      <w:r>
        <w:rPr>
          <w:rFonts w:ascii="Arial" w:hAnsi="Arial"/>
          <w:sz w:val="16"/>
          <w:szCs w:val="16"/>
        </w:rPr>
        <w:t>et</w:t>
      </w:r>
      <w:r>
        <w:rPr>
          <w:rFonts w:ascii="Arial" w:hAnsi="Arial"/>
          <w:spacing w:val="-1"/>
          <w:sz w:val="16"/>
          <w:szCs w:val="16"/>
        </w:rPr>
        <w:t xml:space="preserve"> al.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(2008).</w:t>
      </w:r>
      <w:r>
        <w:rPr>
          <w:rFonts w:ascii="Arial" w:hAnsi="Arial"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Common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 xml:space="preserve">variants </w:t>
      </w:r>
      <w:r>
        <w:rPr>
          <w:rFonts w:ascii="Arial" w:hAnsi="Arial"/>
          <w:i/>
          <w:sz w:val="16"/>
          <w:szCs w:val="16"/>
        </w:rPr>
        <w:t xml:space="preserve">in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adiponectin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(ADIPOQ)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associated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with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plasma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adiponectin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levels,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type</w:t>
      </w:r>
      <w:r>
        <w:rPr>
          <w:rFonts w:ascii="Arial" w:hAnsi="Arial"/>
          <w:i/>
          <w:sz w:val="16"/>
          <w:szCs w:val="16"/>
        </w:rPr>
        <w:t xml:space="preserve"> 2 </w:t>
      </w:r>
      <w:r>
        <w:rPr>
          <w:rFonts w:ascii="Arial" w:hAnsi="Arial"/>
          <w:i/>
          <w:spacing w:val="-1"/>
          <w:sz w:val="16"/>
          <w:szCs w:val="16"/>
        </w:rPr>
        <w:t>diabetes,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07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diabetes-related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quantitative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traits: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Framingham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Offspring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Study.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Diabetes</w:t>
      </w:r>
      <w:r>
        <w:rPr>
          <w:rFonts w:ascii="Arial" w:hAnsi="Arial"/>
          <w:spacing w:val="-5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57(12):</w:t>
      </w:r>
      <w:r>
        <w:rPr>
          <w:rFonts w:ascii="Arial" w:hAnsi="Arial"/>
          <w:spacing w:val="-4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3353-3359</w:t>
      </w:r>
    </w:p>
    <w:p>
      <w:pPr>
        <w:pStyle w:val="Normal"/>
        <w:spacing w:lineRule="auto" w:line="240"/>
        <w:ind w:left="108" w:right="596" w:hanging="0"/>
        <w:rPr>
          <w:rFonts w:ascii="Arial" w:hAnsi="Arial"/>
          <w:spacing w:val="-1"/>
        </w:rPr>
      </w:pPr>
      <w:r>
        <w:rPr>
          <w:rFonts w:ascii="Arial" w:hAnsi="Arial"/>
          <w:spacing w:val="-1"/>
        </w:rPr>
      </w:r>
    </w:p>
    <w:p>
      <w:pPr>
        <w:pStyle w:val="Normal"/>
        <w:spacing w:lineRule="auto" w:line="240" w:before="20" w:after="0"/>
        <w:ind w:left="108" w:right="620" w:hanging="0"/>
        <w:rPr>
          <w:sz w:val="16"/>
          <w:szCs w:val="16"/>
        </w:rPr>
      </w:pPr>
      <w:r>
        <w:rPr>
          <w:rFonts w:ascii="Arial" w:hAnsi="Arial"/>
          <w:color w:val="202020"/>
          <w:spacing w:val="-1"/>
          <w:sz w:val="16"/>
          <w:szCs w:val="16"/>
        </w:rPr>
        <w:t>Mahley RW.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Apolipoprotein </w:t>
      </w:r>
      <w:r>
        <w:rPr>
          <w:rFonts w:ascii="Arial" w:hAnsi="Arial"/>
          <w:i/>
          <w:color w:val="202020"/>
          <w:sz w:val="16"/>
          <w:szCs w:val="16"/>
        </w:rPr>
        <w:t>E: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 from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cardiovascular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disease </w:t>
      </w:r>
      <w:r>
        <w:rPr>
          <w:rFonts w:ascii="Arial" w:hAnsi="Arial"/>
          <w:i/>
          <w:color w:val="202020"/>
          <w:sz w:val="16"/>
          <w:szCs w:val="16"/>
        </w:rPr>
        <w:t>to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 neurodegenerative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disorders.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J</w:t>
      </w:r>
      <w:r>
        <w:rPr>
          <w:rFonts w:ascii="Arial" w:hAnsi="Arial"/>
          <w:color w:val="202020"/>
          <w:spacing w:val="-1"/>
          <w:sz w:val="16"/>
          <w:szCs w:val="16"/>
        </w:rPr>
        <w:t xml:space="preserve"> Mol Med (Berl). 2016 Jul;94(7):739-46. </w:t>
      </w:r>
    </w:p>
    <w:p>
      <w:pPr>
        <w:pStyle w:val="Normal"/>
        <w:spacing w:lineRule="auto" w:line="240" w:before="20" w:after="0"/>
        <w:ind w:left="108" w:right="620" w:hanging="0"/>
        <w:rPr>
          <w:rFonts w:ascii="Arial" w:hAnsi="Arial"/>
          <w:color w:val="202020"/>
          <w:spacing w:val="-1"/>
        </w:rPr>
      </w:pPr>
      <w:r>
        <w:rPr>
          <w:rFonts w:ascii="Arial" w:hAnsi="Arial"/>
          <w:color w:val="202020"/>
          <w:spacing w:val="-1"/>
        </w:rPr>
      </w:r>
    </w:p>
    <w:p>
      <w:pPr>
        <w:pStyle w:val="Normal"/>
        <w:spacing w:lineRule="auto" w:line="240" w:before="20" w:after="0"/>
        <w:ind w:left="108" w:right="620" w:hanging="0"/>
        <w:rPr>
          <w:sz w:val="16"/>
          <w:szCs w:val="16"/>
        </w:rPr>
      </w:pPr>
      <w:r>
        <w:rPr>
          <w:rFonts w:ascii="Arial" w:hAnsi="Arial"/>
          <w:color w:val="202020"/>
          <w:spacing w:val="-1"/>
          <w:sz w:val="16"/>
          <w:szCs w:val="16"/>
        </w:rPr>
        <w:t>Iwai</w:t>
      </w:r>
      <w:r>
        <w:rPr>
          <w:rFonts w:ascii="Arial" w:hAnsi="Arial"/>
          <w:color w:val="202020"/>
          <w:spacing w:val="102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C,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Akita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H,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Kanazawa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 xml:space="preserve">K, </w:t>
      </w:r>
      <w:r>
        <w:rPr>
          <w:rFonts w:ascii="Arial" w:hAnsi="Arial"/>
          <w:color w:val="202020"/>
          <w:spacing w:val="-1"/>
          <w:sz w:val="16"/>
          <w:szCs w:val="16"/>
        </w:rPr>
        <w:t>Shiga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 xml:space="preserve">N, </w:t>
      </w:r>
      <w:r>
        <w:rPr>
          <w:rFonts w:ascii="Arial" w:hAnsi="Arial"/>
          <w:color w:val="202020"/>
          <w:spacing w:val="-1"/>
          <w:sz w:val="16"/>
          <w:szCs w:val="16"/>
        </w:rPr>
        <w:t>Terashima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M,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Matsuda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Y,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Takai</w:t>
      </w:r>
      <w:r>
        <w:rPr>
          <w:rFonts w:ascii="Arial" w:hAnsi="Arial"/>
          <w:color w:val="202020"/>
          <w:sz w:val="16"/>
          <w:szCs w:val="16"/>
        </w:rPr>
        <w:t xml:space="preserve"> E, </w:t>
      </w:r>
      <w:r>
        <w:rPr>
          <w:rFonts w:ascii="Arial" w:hAnsi="Arial"/>
          <w:color w:val="202020"/>
          <w:spacing w:val="-1"/>
          <w:sz w:val="16"/>
          <w:szCs w:val="16"/>
        </w:rPr>
        <w:t>Miyamoto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Y,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Shimizu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M,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Kajiya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T,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Hayashi</w:t>
      </w:r>
      <w:r>
        <w:rPr>
          <w:rFonts w:ascii="Arial" w:hAnsi="Arial"/>
          <w:color w:val="202020"/>
          <w:sz w:val="16"/>
          <w:szCs w:val="16"/>
        </w:rPr>
        <w:t xml:space="preserve"> T,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Yokoyama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M.</w:t>
      </w:r>
    </w:p>
    <w:p>
      <w:pPr>
        <w:pStyle w:val="Normal"/>
        <w:spacing w:lineRule="auto" w:line="240"/>
        <w:ind w:left="108" w:hanging="0"/>
        <w:rPr>
          <w:sz w:val="16"/>
          <w:szCs w:val="16"/>
        </w:rPr>
      </w:pPr>
      <w:r>
        <w:rPr>
          <w:rFonts w:ascii="Arial" w:hAnsi="Arial"/>
          <w:i/>
          <w:color w:val="202020"/>
          <w:spacing w:val="-1"/>
          <w:sz w:val="16"/>
          <w:szCs w:val="16"/>
        </w:rPr>
        <w:t>Arg389Gly polymorphism</w:t>
      </w:r>
      <w:r>
        <w:rPr>
          <w:rFonts w:ascii="Arial" w:hAnsi="Arial"/>
          <w:i/>
          <w:color w:val="202020"/>
          <w:sz w:val="16"/>
          <w:szCs w:val="16"/>
        </w:rPr>
        <w:t xml:space="preserve"> of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 the human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beta1-adrenergic receptor</w:t>
      </w:r>
      <w:r>
        <w:rPr>
          <w:rFonts w:ascii="Arial" w:hAnsi="Arial"/>
          <w:i/>
          <w:color w:val="202020"/>
          <w:sz w:val="16"/>
          <w:szCs w:val="16"/>
        </w:rPr>
        <w:t xml:space="preserve"> in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patients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with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nonfatal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acute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myocardial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infarction.</w:t>
      </w:r>
      <w:r>
        <w:rPr>
          <w:rFonts w:ascii="Arial" w:hAnsi="Arial"/>
          <w:i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Am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Heart</w:t>
      </w:r>
      <w:r>
        <w:rPr>
          <w:rFonts w:ascii="Arial" w:hAnsi="Arial"/>
          <w:color w:val="202020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J.</w:t>
      </w:r>
      <w:r>
        <w:rPr>
          <w:rFonts w:ascii="Arial" w:hAnsi="Arial"/>
          <w:color w:val="202020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2003</w:t>
      </w:r>
    </w:p>
    <w:p>
      <w:pPr>
        <w:pStyle w:val="Normal"/>
        <w:spacing w:lineRule="auto" w:line="240" w:before="29" w:after="0"/>
        <w:ind w:left="108" w:hanging="0"/>
        <w:rPr>
          <w:sz w:val="16"/>
          <w:szCs w:val="16"/>
        </w:rPr>
      </w:pPr>
      <w:r>
        <w:rPr>
          <w:rFonts w:ascii="Arial" w:hAnsi="Arial"/>
          <w:color w:val="202020"/>
          <w:spacing w:val="-1"/>
          <w:sz w:val="16"/>
          <w:szCs w:val="16"/>
        </w:rPr>
        <w:t>Jul;146(1):106-9.</w:t>
      </w:r>
    </w:p>
    <w:p>
      <w:pPr>
        <w:pStyle w:val="Normal"/>
        <w:spacing w:lineRule="auto" w:line="240"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112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Willer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et al.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(2009).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Six new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loci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associated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with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body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mass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index highlight</w:t>
      </w:r>
      <w:r>
        <w:rPr>
          <w:rFonts w:ascii="Arial" w:hAnsi="Arial"/>
          <w:i/>
          <w:sz w:val="16"/>
          <w:szCs w:val="16"/>
        </w:rPr>
        <w:t xml:space="preserve"> a </w:t>
      </w:r>
      <w:r>
        <w:rPr>
          <w:rFonts w:ascii="Arial" w:hAnsi="Arial"/>
          <w:i/>
          <w:spacing w:val="-1"/>
          <w:sz w:val="16"/>
          <w:szCs w:val="16"/>
        </w:rPr>
        <w:t>neuronal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influence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body weight regulation.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Nat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Genet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41(1):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25-</w:t>
      </w:r>
      <w:r>
        <w:rPr>
          <w:rFonts w:ascii="Arial" w:hAnsi="Arial"/>
          <w:spacing w:val="121"/>
          <w:sz w:val="16"/>
          <w:szCs w:val="16"/>
        </w:rPr>
        <w:t xml:space="preserve"> </w:t>
      </w:r>
      <w:r>
        <w:rPr>
          <w:rFonts w:ascii="Arial" w:hAnsi="Arial"/>
          <w:spacing w:val="-4"/>
          <w:sz w:val="16"/>
          <w:szCs w:val="16"/>
        </w:rPr>
        <w:t>34</w:t>
      </w:r>
    </w:p>
    <w:p>
      <w:pPr>
        <w:pStyle w:val="Normal"/>
        <w:spacing w:lineRule="auto" w:line="276"/>
        <w:ind w:left="108" w:right="112" w:hanging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76"/>
        <w:ind w:left="108" w:right="112" w:hanging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6"/>
        <w:gridCol w:w="2206"/>
        <w:gridCol w:w="1847"/>
        <w:gridCol w:w="2318"/>
        <w:gridCol w:w="2512"/>
      </w:tblGrid>
      <w:tr>
        <w:trPr>
          <w:trHeight w:val="1262" w:hRule="exact"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ind w:left="32" w:hanging="0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06" w:type="dxa"/>
            <w:tcBorders>
              <w:top w:val="single" w:sz="6" w:space="0" w:color="000000"/>
              <w:bottom w:val="single" w:sz="6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left="33" w:hanging="0"/>
              <w:jc w:val="left"/>
              <w:rPr>
                <w:rFonts w:ascii="Arial" w:hAnsi="Arial"/>
                <w:b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left="33" w:hanging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7" w:type="dxa"/>
            <w:tcBorders>
              <w:top w:val="single" w:sz="6" w:space="0" w:color="000000"/>
              <w:bottom w:val="single" w:sz="6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both"/>
              <w:rPr>
                <w:rFonts w:ascii="Arial" w:hAnsi="Arial"/>
                <w:b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6" w:space="0" w:color="000000"/>
              <w:bottom w:val="single" w:sz="6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left="33" w:hanging="0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left="33" w:right="592" w:hanging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left"/>
              <w:rPr>
                <w:rFonts w:ascii="Arial" w:hAnsi="Arial"/>
                <w:b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  <w:bookmarkStart w:id="16" w:name="_Hlk83980272"/>
            <w:bookmarkEnd w:id="16"/>
          </w:p>
        </w:tc>
      </w:tr>
    </w:tbl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51" w:footer="388" w:bottom="93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Arial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  <w:u w:val="single"/>
        <w:lang w:val="it-IT"/>
      </w:rPr>
    </w:pPr>
    <w:r>
      <w:rPr>
        <w:rFonts w:cs="Arial" w:ascii="Arial" w:hAnsi="Arial"/>
        <w:sz w:val="16"/>
        <w:szCs w:val="16"/>
        <w:u w:val="single"/>
        <w:lang w:val="it-IT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181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FAZIO CINZIA - Referto emesso il 25/09/2024 10:05:08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  <w:u w:val="single"/>
        <w:lang w:val="it-IT"/>
      </w:rPr>
    </w:pPr>
    <w:r>
      <w:rPr>
        <w:rFonts w:cs="Arial" w:ascii="Arial" w:hAnsi="Arial"/>
        <w:sz w:val="16"/>
        <w:szCs w:val="16"/>
        <w:u w:val="single"/>
        <w:lang w:val="it-IT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181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type="auto" w:w="0"/>
      <w:jc w:val="left"/>
      <w:tblLook w:firstColumn="1" w:firstRow="1" w:lastColumn="0" w:lastRow="0" w:noHBand="0" w:noVBand="1" w:val="04A0"/>
    </w:tblPr>
    <w:tblGrid>
      <w:gridCol w:w="5328"/>
      <w:gridCol w:w="5328"/>
    </w:tblGrid>
    <w:tr>
      <w:tc>
        <w:tcPr>
          <w:tcW w:type="dxa" w:w="5328"/>
          <w:vAlign w:val="top"/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88136" cy="10861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Vit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136" cy="10861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28"/>
        </w:tcPr>
        <w:p>
          <w:pPr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044952" cy="108019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testazione_altamedic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952" cy="10801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92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30" w:after="0"/>
      <w:ind w:left="108" w:hanging="0"/>
      <w:outlineLvl w:val="1"/>
    </w:pPr>
    <w:rPr>
      <w:rFonts w:ascii="Calibri" w:hAnsi="Calibri" w:eastAsia="Calibri"/>
      <w:b/>
      <w:bCs/>
    </w:rPr>
  </w:style>
  <w:style w:type="paragraph" w:styleId="Heading3">
    <w:name w:val="Heading 3"/>
    <w:basedOn w:val="Normal"/>
    <w:uiPriority w:val="9"/>
    <w:unhideWhenUsed/>
    <w:qFormat/>
    <w:pPr>
      <w:ind w:left="108" w:hanging="0"/>
      <w:outlineLvl w:val="2"/>
    </w:pPr>
    <w:rPr>
      <w:rFonts w:ascii="Arial" w:hAnsi="Arial" w:eastAsia="Arial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uiPriority w:val="99"/>
    <w:qFormat/>
    <w:rsid w:val="00217c8c"/>
    <w:rPr/>
  </w:style>
  <w:style w:type="character" w:styleId="PidipaginaCarattere" w:customStyle="1">
    <w:name w:val="Piè di pagina Carattere"/>
    <w:basedOn w:val="DefaultParagraphFont"/>
    <w:uiPriority w:val="99"/>
    <w:qFormat/>
    <w:rsid w:val="00217c8c"/>
    <w:rPr/>
  </w:style>
  <w:style w:type="character" w:styleId="PlaceholderText">
    <w:name w:val="Placeholder Text"/>
    <w:basedOn w:val="DefaultParagraphFont"/>
    <w:uiPriority w:val="99"/>
    <w:semiHidden/>
    <w:qFormat/>
    <w:rsid w:val="00f474bf"/>
    <w:rPr>
      <w:color w:val="808080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08" w:hanging="0"/>
    </w:pPr>
    <w:rPr>
      <w:rFonts w:ascii="Arial" w:hAnsi="Arial" w:eastAsia="Arial"/>
      <w:sz w:val="20"/>
      <w:szCs w:val="20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217c8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217c8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40553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Application>LibreOffice/7.3.7.2$Linux_X86_64 LibreOffice_project/30$Build-2</Application>
  <AppVersion>15.0000</AppVersion>
  <Pages>7</Pages>
  <Words>1176</Words>
  <Characters>7247</Characters>
  <CharactersWithSpaces>8309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2021-09-15T14:13:00Z</dcterms:created>
  <dc:creator/>
  <dc:description/>
  <dc:language>en-US</dc:language>
  <cp:lastModifiedBy/>
  <dcterms:modified xsi:type="dcterms:W3CDTF">2024-09-03T14:06:02Z</dcterms:modified>
  <cp:revision>83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2021-09-15T00:00:00Z</vt:filetime>
  </property>
  <property fmtid="{D5CDD505-2E9C-101B-9397-08002B2CF9AE}" pid="3" name="LastSaved">
    <vt:filetime>2021-09-15T00:00:00Z</vt:filetime>
  </property>
</Properties>
</file>