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Junior</w:t>
        <w:br/>
        <w:t>Predisposizione alla sindrome metabolica (medio)</w:t>
        <w:br/>
        <w:t>Predisposizione genetica all'elevata sensibilità alla caffeina (metabolizzatore lento)</w:t>
        <w:br/>
        <w:t>Predisposizione genetica ad elevati livelli di ferro</w:t>
        <w:br/>
        <w:t>Predisposizione genetica (alta) alle carie dentali</w:t>
        <w:br/>
        <w:t>Musulmano, alimenti halal</w:t>
      </w:r>
    </w:p>
    <w:p>
      <w:pPr>
        <w:pStyle w:val="TextBody"/>
        <w:rPr>
          <w:rFonts w:ascii="Calibri" w:hAnsi="Calibri"/>
        </w:rPr>
      </w:pPr>
      <w:r>
        <w:rPr/>
      </w:r>
    </w:p>
    <w:p>
      <w:pPr>
        <w:pStyle w:val="TextBody"/>
        <w:spacing w:lineRule="auto" w:line="276"/>
        <w:rPr/>
      </w:pPr>
      <w:r>
        <w:t>Il profilo genetico del bambino ha evidenziato diverse predisposizioni che richiedono attenzione nella pianificazione della sua dieta e stile di vita:</w:t>
        <w:br/>
        <w:br/>
        <w:t>1. Predisposizione alla Sindrome Metabolica (Medio):</w:t>
        <w:br/>
        <w:t>Il profilo genetico ha evidenziato una media predisposizione genetica alla Sindrome Metabolica. Ciò significa che la probabilità di sviluppare questa patologia è più alta rispetto alla popolazione media. La sindrome metabolica è una condizione caratterizzata dalla combinazione di diversi fattori di rischio metabolico, come obesità addominale, ipertensione, iperglicemia, e dislipidemia. È molto importante quindi regolare l'assunzione di zuccheri e di carboidrati raffinati per mantenere il controllo glicemico e insulinico nella norma ed evitare l'accumulo di tessuto adiposo. A livello alimentare si consiglia la riduzione di zuccheri semplici (es: carboidrati raffinati, bevande zuccherate, frutta, ecc..) e un giusto apporto di carboidrati complessi (es: pasta, pane, ecc..), lipidi e proteine. È importante anche regolare l'introito calorico, prestando attenzione a non superare il proprio fabbisogno energetico. Inoltre è consigliata anche la riduzione del sale a &lt; 2 g al giorno, considerando anche quello già presente negli alimenti. La riduzione di sale è un'ottima prevenzione contro l'ipertensione.</w:t>
        <w:br/>
        <w:br/>
        <w:t>2. Predisposizione genetica all'elevata sensibilità alla Caffeina (metabolizzatore lento):</w:t>
        <w:br/>
        <w:t>I geni del bambino hanno dimostrato un'alta sensibilità alla caffeina, ovvero il suo organismo impiega più tempo per metabolizzare la caffeina. Questo potrebbe comportare effetti negativi sulla salute, come l'aumento dell'ansia o dell'irrequietezza, e in casi estremi, potenziali rischi cardiovascolari, soprattutto con un consumo elevato. Diversi studi hanno evidenziato l'importanza del gene CYP1A2 nella risposta individuale alla caffeina. È stato dimostrato che individui con un metabolismo lento possono influenzare il rischio di malattie cardiovascolari in relazione al consumo di caffeina. Date le evidenze genetiche, si consiglia di limitare l'assunzione di bevande contenenti caffeina. Le linee guida generali suggeriscono un massimo di 1-2 porzioni al giorno per i bambini, tenendo presente che la caffeina è presente non solo nel caffè, ma anche in tè, alcune bibite gassate, cioccolato e alcune bevande energetiche.</w:t>
        <w:br/>
        <w:br/>
        <w:t>3. Predisposizione genetica ad elevati livelli di Ferro:</w:t>
        <w:br/>
        <w:t>Il profilo genetico ha evidenziato una predisposizione genetica ad un accumulo dei livelli di Ferro. Nel caso del bambino, la predisposizione all'accumulo di Ferro potrebbe essere legata ad una mutazione del gene HFE, che codifica per una proteina 'sensore', importante nella regolazione dell'assorbimento del ferro. In condizioni normali questa proteina si trova sulla superficie delle cellule del tratto intestinali dove regola l'assorbimento di ferro. La mutazione del gene HFE, in particolare la mutazione nota come C282Y, determina la produzione di una proteina alterata che non si esprime sulla superficie delle cellule intestinali e, non regolando l'assorbimento di ferro, determina una maggior concentrazione di ferro circolante. Un'altra mutazione nota come H63D determina la produzione di una proteina in grado di esprimersi sulla superficie delle cellule intestinali ma non di svolgere la funzione di sensore, portando così anch'essa ad un sovraccarico di ferro. Un accumulo di ferro può avere diverse conseguenze per l'organismo, può portare ad esempio ad una condizione di Emocromatosi. Questa patologia se severa e non trattata può dare danni al fegato, accumulo di ferro nel cuore, diabete mellito, artropatie, osteoporosi, ipogonadismo ipogonadotropo, affaticamento cronico e iperpigmentazione cutanea. Il fabbisogno medio giornaliero di Ferro è dai 6 mg ai 10 mg al giorno. Si consiglia di limitare il consumo di alimenti ricchi di Ferro evitando anche quelli non consigliati nella tabella alimentare fornita.</w:t>
        <w:br/>
        <w:br/>
        <w:t>4. Predisposizione genetica (alta) alle carie dentali:</w:t>
        <w:br/>
        <w:t>Il profilo genetico del bambino ha evidenziato una alta predisposizione alle carie dentali. Le carie dentali sono una condizione multifattoriale influenzata sia da fattori ambientali che genetici. Studi recenti hanno identificato diversi geni che possono influenzare la suscettibilità alle carie, tra cui geni coinvolti nella formazione dello smalto dentale, nella composizione della saliva e nella risposta immunitaria orale. Questa predisposizione genetica non significa che il bambino svilupperà necessariamente carie, ma indica che potrebbe essere più suscettibile rispetto alla media. È quindi fondamentale adottare misure preventive rigorose:</w:t>
        <w:br/>
        <w:br/>
        <w:t>- Mantenere una corretta igiene orale, spazzolando i denti almeno due volte al giorno con un dentifricio al fluoro adatto all'età.</w:t>
        <w:br/>
        <w:t>- Limitare il consumo di zuccheri e carboidrati raffinati, che sono il principale nutrimento per i batteri che causano le carie.</w:t>
        <w:br/>
        <w:t>- Evitare spuntini frequenti, soprattutto quelli ricchi di zuccheri.</w:t>
        <w:br/>
        <w:t>- Consumare cibi che promuovono la salute dentale, come frutta e verdura cruda, che stimolano la produzione di saliva.</w:t>
        <w:br/>
        <w:t>- Effettuare controlli dentistici regolari, almeno ogni 6 mesi.</w:t>
        <w:br/>
        <w:t>- Considerare l'uso di sigillanti dentali e trattamenti al fluoro sotto la supervisione del dentista.</w:t>
        <w:br/>
        <w:br/>
        <w:t>5. Dieta Halal:</w:t>
        <w:br/>
        <w:t>Essendo il bambino musulmano, è importante che la sua dieta sia conforme alle regole alimentari islamiche (halal). Questo significa:</w:t>
        <w:br/>
        <w:br/>
        <w:t>- Evitare carne di maiale e suoi derivati.</w:t>
        <w:br/>
        <w:t>- Consumare solo carne di animali macellati secondo le regole islamiche.</w:t>
        <w:br/>
        <w:t>- Evitare alcol e ingredienti derivati dall'alcol.</w:t>
        <w:br/>
        <w:t>- Prestare attenzione agli ingredienti nascosti in prodotti confezionati che potrebbero non essere halal.</w:t>
        <w:br/>
        <w:br/>
        <w:t>Queste raccomandazioni sono state incorporate nella tabella alimentare fornita, assicurando che tutti gli alimenti consigliati siano conformi alla dieta halal.</w:t>
        <w:br/>
        <w:br/>
        <w:t>In conclusione, è importante sottolineare che queste predisposizioni genetiche non sono destini immutabili, ma piuttosto indicazioni di aree in cui è necessario prestare particolare attenzione. Con una dieta equilibrata, uno stile di vita sano e controlli medici regolari, è possibile gestire efficacemente queste predisposizioni e promuovere una crescita e uno sviluppo ottimali del bambino.</w:t>
      </w:r>
    </w:p>
    <w:p>
      <w:pPr>
        <w:pStyle w:val="TextBody"/>
        <w:spacing w:lineRule="auto" w:line="276"/>
        <w:rPr/>
      </w:pPr>
      <w:r>
        <w:rPr/>
      </w:r>
      <w:r>
        <w:br w:type="page"/>
      </w:r>
    </w:p>
    <w:p>
      <w:pPr>
        <w:pStyle w:val="TextBody"/>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TextBody"/>
        <w:spacing w:before="23" w:after="0"/>
        <w:rPr>
          <w:b/>
          <w:b/>
        </w:rPr>
      </w:pPr>
      <w:r>
        <w:rPr>
          <w:b/>
        </w:rPr>
      </w:r>
    </w:p>
    <w:p>
      <w:pPr>
        <w:pStyle w:val="TextBody"/>
        <w:spacing w:before="23" w:after="0"/>
        <w:rPr>
          <w:b/>
          <w:b/>
        </w:rPr>
      </w:pPr>
      <w:r>
        <w:rPr>
          <w:b/>
        </w:rPr>
      </w:r>
    </w:p>
    <w:tbl>
      <w:tblPr>
        <w:tblW w:w="10701" w:type="dxa"/>
        <w:jc w:val="left"/>
        <w:tblInd w:w="180" w:type="dxa"/>
        <w:tblLayout w:type="fixed"/>
        <w:tblCellMar>
          <w:top w:w="0" w:type="dxa"/>
          <w:left w:w="0" w:type="dxa"/>
          <w:bottom w:w="0" w:type="dxa"/>
          <w:right w:w="0" w:type="dxa"/>
        </w:tblCellMar>
        <w:tblLook w:val="01e0"/>
      </w:tblPr>
      <w:tblGrid>
        <w:gridCol w:w="2969"/>
        <w:gridCol w:w="2391"/>
        <w:gridCol w:w="290"/>
        <w:gridCol w:w="2383"/>
        <w:gridCol w:w="290"/>
        <w:gridCol w:w="2377"/>
      </w:tblGrid>
      <w:tr>
        <w:trPr>
          <w:trHeight w:val="609" w:hRule="atLeast"/>
        </w:trPr>
        <w:tc>
          <w:tcPr>
            <w:tcW w:w="2969"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91"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90" w:type="dxa"/>
            <w:tcBorders/>
          </w:tcPr>
          <w:p>
            <w:pPr>
              <w:pStyle w:val="TableParagraph"/>
              <w:widowControl w:val="false"/>
              <w:rPr>
                <w:rFonts w:ascii="Times New Roman" w:hAnsi="Times New Roman"/>
                <w:sz w:val="20"/>
              </w:rPr>
            </w:pPr>
            <w:r>
              <w:rPr>
                <w:rFonts w:ascii="Times New Roman" w:hAnsi="Times New Roman"/>
                <w:sz w:val="20"/>
              </w:rPr>
            </w:r>
          </w:p>
        </w:tc>
        <w:tc>
          <w:tcPr>
            <w:tcW w:w="2383"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90" w:type="dxa"/>
            <w:tcBorders/>
          </w:tcPr>
          <w:p>
            <w:pPr>
              <w:pStyle w:val="TableParagraph"/>
              <w:widowControl w:val="false"/>
              <w:rPr>
                <w:rFonts w:ascii="Times New Roman" w:hAnsi="Times New Roman"/>
                <w:sz w:val="20"/>
              </w:rPr>
            </w:pPr>
            <w:r>
              <w:rPr>
                <w:rFonts w:ascii="Times New Roman" w:hAnsi="Times New Roman"/>
                <w:sz w:val="20"/>
              </w:rPr>
            </w:r>
          </w:p>
        </w:tc>
        <w:tc>
          <w:tcPr>
            <w:tcW w:w="2377"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00"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2969"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r>
          </w:p>
        </w:tc>
        <w:tc>
          <w:tcPr>
            <w:tcW w:w="2391" w:type="dxa"/>
            <w:tcBorders>
              <w:top w:val="single" w:sz="4" w:space="0" w:color="000000"/>
            </w:tcBorders>
            <w:shd w:color="auto" w:fill="F0F0F0" w:val="clear"/>
          </w:tcPr>
          <w:p>
            <w:pPr>
              <w:pStyle w:val="TableParagraph"/>
              <w:widowControl w:val="false"/>
              <w:spacing w:before="267" w:after="0"/>
              <w:ind w:left="124" w:right="0" w:hanging="0"/>
              <w:jc w:val="center"/>
              <w:rPr>
                <w:sz w:val="18"/>
                <w:szCs w:val="18"/>
              </w:rPr>
            </w:pPr>
            <w:r>
              <w:t>Seppia, polpo, calamari, pesce bianco, polpettine di pesce bianco o azzurro, merluzzo, platessa, sogliola, orata, branzino</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3" w:type="dxa"/>
            <w:tcBorders>
              <w:top w:val="single" w:sz="4" w:space="0" w:color="000000"/>
            </w:tcBorders>
            <w:shd w:color="auto" w:fill="F0F0F0" w:val="clear"/>
          </w:tcPr>
          <w:p>
            <w:pPr>
              <w:pStyle w:val="TableParagraph"/>
              <w:widowControl w:val="false"/>
              <w:spacing w:before="267" w:after="0"/>
              <w:ind w:left="0" w:right="0" w:hanging="0"/>
              <w:jc w:val="center"/>
              <w:rPr>
                <w:sz w:val="18"/>
                <w:szCs w:val="18"/>
              </w:rPr>
            </w:pPr>
            <w:r>
              <w:t>Crostacei (es: aragoste, scampi, astici, gamberi), filetto di tonno o salmone, alici, salmone affumicato, tonno in scatola, burger di pesce bianco o azzurro, trota, sgombro fresco, sardine</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77"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sz w:val="18"/>
                <w:szCs w:val="18"/>
              </w:rPr>
            </w:pPr>
            <w:r>
              <w:t>Uova di tutti i tipi di pesce (caviale, bottarga, uova di salmone), anguilla, aringa, sgombro in scatola, pesce spada, tonno rosso, merluzzo salato</w:t>
            </w:r>
          </w:p>
        </w:tc>
      </w:tr>
      <w:tr>
        <w:trPr>
          <w:trHeight w:val="304" w:hRule="atLeast"/>
        </w:trPr>
        <w:tc>
          <w:tcPr>
            <w:tcW w:w="10700"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2969"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9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Tacchino, pollo, vitello, coniglio, agnello, polpette di carne bianca, arista di maiale (se certificata halal), manzo magro halal, capretto halal</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Hamburger o macinato di pollo/tacchino/vitello halal, prosciutto di tacchino halal, bresaola halal, nuggets di pollo halal, cotoletta di carne bianca halal, hamburger di carne bianca halal</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77"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Filetto di carne rossa halal, roast beef halal, salsicce halal, wurstel halal, salame halal, mortadella halal, coppa halal, speck halal, cotoletta di carne rossa halal</w:t>
            </w:r>
          </w:p>
        </w:tc>
      </w:tr>
      <w:tr>
        <w:trPr>
          <w:trHeight w:val="309" w:hRule="atLeast"/>
        </w:trPr>
        <w:tc>
          <w:tcPr>
            <w:tcW w:w="10700"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2969"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ALIMENTI DI ORIGINE VEGETALE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9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Latte di soia senza zuccheri aggiunti, yogurt di soia senza zuccheri aggiunti, latte di mandorla, latte di cocco, bevanda di avena, tofu, tempeh, yogurt di mandorla, seitan halal</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Formaggi freschi semi-magri vegetali, ricotta di soia, formaggio di mandorle, formaggio di anacardi, yogurt di cocco, bevanda di riso senza zucchero, affettati vegetali, polpette vegetali, burger vegetali, salsa di soia senza sale</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77"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Bevande di soia con zuccheri aggiunti, burger vegetali fritti, salsa di soia con sale, tofu fritto, tempeh fritto</w:t>
            </w:r>
          </w:p>
        </w:tc>
      </w:tr>
    </w:tbl>
    <w:p>
      <w:pPr>
        <w:sectPr>
          <w:headerReference w:type="default" r:id="rId2"/>
          <w:footerReference w:type="default" r:id="rId3"/>
          <w:type w:val="nextPage"/>
          <w:pgSz w:w="11930" w:h="16860"/>
          <w:pgMar w:left="500" w:right="420" w:gutter="0" w:header="718" w:top="2360" w:footer="556" w:bottom="1081"/>
          <w:pgNumType w:fmt="decimal"/>
          <w:formProt w:val="false"/>
          <w:textDirection w:val="lrTb"/>
          <w:docGrid w:type="default" w:linePitch="100" w:charSpace="0"/>
        </w:sectPr>
      </w:pPr>
    </w:p>
    <w:p>
      <w:pPr>
        <w:pStyle w:val="TextBody"/>
        <w:spacing w:before="20" w:after="0"/>
        <w:rPr>
          <w:b/>
          <w:b/>
        </w:rPr>
      </w:pPr>
      <w:r>
        <w:rPr>
          <w:b/>
        </w:rPr>
      </w:r>
    </w:p>
    <w:p>
      <w:pPr>
        <w:pStyle w:val="TextBody"/>
        <w:spacing w:before="20" w:after="0"/>
        <w:rPr>
          <w:b/>
          <w:b/>
        </w:rPr>
      </w:pPr>
      <w:r>
        <w:rPr>
          <w:b/>
        </w:rPr>
      </w:r>
    </w:p>
    <w:tbl>
      <w:tblPr>
        <w:tblW w:w="10701" w:type="dxa"/>
        <w:jc w:val="left"/>
        <w:tblInd w:w="180" w:type="dxa"/>
        <w:tblLayout w:type="fixed"/>
        <w:tblCellMar>
          <w:top w:w="0" w:type="dxa"/>
          <w:left w:w="0" w:type="dxa"/>
          <w:bottom w:w="0" w:type="dxa"/>
          <w:right w:w="0" w:type="dxa"/>
        </w:tblCellMar>
        <w:tblLook w:val="01e0"/>
      </w:tblPr>
      <w:tblGrid>
        <w:gridCol w:w="2969"/>
        <w:gridCol w:w="2391"/>
        <w:gridCol w:w="290"/>
        <w:gridCol w:w="2383"/>
        <w:gridCol w:w="290"/>
        <w:gridCol w:w="2377"/>
      </w:tblGrid>
      <w:tr>
        <w:trPr>
          <w:trHeight w:val="605" w:hRule="atLeast"/>
        </w:trPr>
        <w:tc>
          <w:tcPr>
            <w:tcW w:w="2969" w:type="dxa"/>
            <w:tcBorders/>
          </w:tcPr>
          <w:p>
            <w:pPr>
              <w:pStyle w:val="TableParagraph"/>
              <w:widowControl w:val="false"/>
              <w:spacing w:lineRule="exact" w:line="416"/>
              <w:ind w:left="136" w:right="0" w:hanging="0"/>
              <w:rPr>
                <w:rFonts w:eastAsia="Calibri" w:cs="Calibri"/>
                <w:kern w:val="0"/>
                <w:szCs w:val="22"/>
                <w:lang w:val="it-IT" w:eastAsia="en-US" w:bidi="ar-SA"/>
              </w:rPr>
            </w:pPr>
            <w:r>
              <w:rPr>
                <w:rFonts w:eastAsia="Calibri" w:cs="Calibri" w:ascii="Cambria" w:hAnsi="Cambria"/>
                <w:b/>
                <w:i/>
                <w:color w:val="FF0000"/>
                <w:spacing w:val="-2"/>
                <w:kern w:val="0"/>
                <w:sz w:val="36"/>
                <w:szCs w:val="22"/>
                <w:lang w:val="it-IT" w:eastAsia="en-US" w:bidi="ar-SA"/>
              </w:rPr>
              <w:t>PROTEINE</w:t>
            </w:r>
          </w:p>
        </w:tc>
        <w:tc>
          <w:tcPr>
            <w:tcW w:w="2391" w:type="dxa"/>
            <w:tcBorders/>
            <w:shd w:fill="CEEAA0" w:val="clear"/>
          </w:tcPr>
          <w:p>
            <w:pPr>
              <w:pStyle w:val="TableParagraph"/>
              <w:widowControl w:val="false"/>
              <w:spacing w:lineRule="atLeast" w:line="300"/>
              <w:ind w:left="1010" w:right="537" w:hanging="480"/>
              <w:rPr>
                <w:rFonts w:eastAsia="Calibri" w:cs="Calibri"/>
                <w:kern w:val="0"/>
                <w:szCs w:val="22"/>
                <w:lang w:val="it-IT" w:eastAsia="en-US" w:bidi="ar-SA"/>
              </w:rPr>
            </w:pPr>
            <w:r>
              <w:rPr>
                <w:rFonts w:eastAsia="Calibri" w:cs="Calibri" w:ascii="Cambria" w:hAnsi="Cambria"/>
                <w:b/>
                <w:spacing w:val="-2"/>
                <w:kern w:val="0"/>
                <w:sz w:val="26"/>
                <w:szCs w:val="22"/>
                <w:lang w:val="it-IT" w:eastAsia="en-US" w:bidi="ar-SA"/>
              </w:rPr>
              <w:t xml:space="preserve">Consigliate </w:t>
            </w:r>
            <w:r>
              <w:rPr>
                <w:rFonts w:eastAsia="Calibri" w:cs="Calibri" w:ascii="Cambria" w:hAnsi="Cambria"/>
                <w:b/>
                <w:spacing w:val="-4"/>
                <w:kern w:val="0"/>
                <w:sz w:val="26"/>
                <w:szCs w:val="22"/>
                <w:lang w:val="it-IT" w:eastAsia="en-US" w:bidi="ar-SA"/>
              </w:rPr>
              <w:t>(C)</w:t>
            </w:r>
          </w:p>
        </w:tc>
        <w:tc>
          <w:tcPr>
            <w:tcW w:w="290" w:type="dxa"/>
            <w:tcBorders/>
          </w:tcPr>
          <w:p>
            <w:pPr>
              <w:pStyle w:val="TableParagraph"/>
              <w:widowControl w:val="false"/>
              <w:rPr>
                <w:rFonts w:ascii="Times New Roman" w:hAnsi="Times New Roman" w:eastAsia="Calibri" w:cs="Calibri"/>
                <w:kern w:val="0"/>
                <w:sz w:val="20"/>
                <w:szCs w:val="22"/>
                <w:lang w:val="it-IT" w:eastAsia="en-US" w:bidi="ar-SA"/>
              </w:rPr>
            </w:pPr>
            <w:r>
              <w:rPr>
                <w:rFonts w:eastAsia="Calibri" w:cs="Calibri" w:ascii="Times New Roman" w:hAnsi="Times New Roman"/>
                <w:kern w:val="0"/>
                <w:sz w:val="20"/>
                <w:szCs w:val="22"/>
                <w:lang w:val="it-IT" w:eastAsia="en-US" w:bidi="ar-SA"/>
              </w:rPr>
            </w:r>
          </w:p>
        </w:tc>
        <w:tc>
          <w:tcPr>
            <w:tcW w:w="2383" w:type="dxa"/>
            <w:tcBorders/>
            <w:shd w:fill="FFCC90" w:val="clear"/>
          </w:tcPr>
          <w:p>
            <w:pPr>
              <w:pStyle w:val="TableParagraph"/>
              <w:widowControl w:val="false"/>
              <w:spacing w:lineRule="atLeast" w:line="300"/>
              <w:ind w:left="1001" w:right="638" w:hanging="363"/>
              <w:rPr>
                <w:rFonts w:eastAsia="Calibri" w:cs="Calibri"/>
                <w:kern w:val="0"/>
                <w:szCs w:val="22"/>
                <w:lang w:val="it-IT" w:eastAsia="en-US" w:bidi="ar-SA"/>
              </w:rPr>
            </w:pPr>
            <w:r>
              <w:rPr>
                <w:rFonts w:eastAsia="Calibri" w:cs="Calibri" w:ascii="Cambria" w:hAnsi="Cambria"/>
                <w:b/>
                <w:spacing w:val="-2"/>
                <w:kern w:val="0"/>
                <w:sz w:val="26"/>
                <w:szCs w:val="22"/>
                <w:lang w:val="it-IT" w:eastAsia="en-US" w:bidi="ar-SA"/>
              </w:rPr>
              <w:t xml:space="preserve">Tollerate </w:t>
            </w:r>
            <w:r>
              <w:rPr>
                <w:rFonts w:eastAsia="Calibri" w:cs="Calibri" w:ascii="Cambria" w:hAnsi="Cambria"/>
                <w:b/>
                <w:spacing w:val="-4"/>
                <w:kern w:val="0"/>
                <w:sz w:val="26"/>
                <w:szCs w:val="22"/>
                <w:lang w:val="it-IT" w:eastAsia="en-US" w:bidi="ar-SA"/>
              </w:rPr>
              <w:t>(T)</w:t>
            </w:r>
          </w:p>
        </w:tc>
        <w:tc>
          <w:tcPr>
            <w:tcW w:w="290" w:type="dxa"/>
            <w:tcBorders/>
          </w:tcPr>
          <w:p>
            <w:pPr>
              <w:pStyle w:val="TableParagraph"/>
              <w:widowControl w:val="false"/>
              <w:rPr>
                <w:rFonts w:ascii="Times New Roman" w:hAnsi="Times New Roman" w:eastAsia="Calibri" w:cs="Calibri"/>
                <w:kern w:val="0"/>
                <w:sz w:val="20"/>
                <w:szCs w:val="22"/>
                <w:lang w:val="it-IT" w:eastAsia="en-US" w:bidi="ar-SA"/>
              </w:rPr>
            </w:pPr>
            <w:r>
              <w:rPr>
                <w:rFonts w:eastAsia="Calibri" w:cs="Calibri" w:ascii="Times New Roman" w:hAnsi="Times New Roman"/>
                <w:kern w:val="0"/>
                <w:sz w:val="20"/>
                <w:szCs w:val="22"/>
                <w:lang w:val="it-IT" w:eastAsia="en-US" w:bidi="ar-SA"/>
              </w:rPr>
            </w:r>
          </w:p>
        </w:tc>
        <w:tc>
          <w:tcPr>
            <w:tcW w:w="2377" w:type="dxa"/>
            <w:tcBorders/>
            <w:shd w:fill="FF7A80" w:val="clear"/>
          </w:tcPr>
          <w:p>
            <w:pPr>
              <w:pStyle w:val="TableParagraph"/>
              <w:widowControl w:val="false"/>
              <w:spacing w:lineRule="atLeast" w:line="300"/>
              <w:ind w:left="1024" w:right="477" w:hanging="543"/>
              <w:rPr>
                <w:rFonts w:eastAsia="Calibri" w:cs="Calibri"/>
                <w:kern w:val="0"/>
                <w:szCs w:val="22"/>
                <w:lang w:val="it-IT" w:eastAsia="en-US" w:bidi="ar-SA"/>
              </w:rPr>
            </w:pPr>
            <w:r>
              <w:rPr>
                <w:rFonts w:eastAsia="Calibri" w:cs="Calibri" w:ascii="Cambria" w:hAnsi="Cambria"/>
                <w:b/>
                <w:spacing w:val="-2"/>
                <w:kern w:val="0"/>
                <w:sz w:val="26"/>
                <w:szCs w:val="22"/>
                <w:lang w:val="it-IT" w:eastAsia="en-US" w:bidi="ar-SA"/>
              </w:rPr>
              <w:t xml:space="preserve">Sconsigliate </w:t>
            </w:r>
            <w:r>
              <w:rPr>
                <w:rFonts w:eastAsia="Calibri" w:cs="Calibri" w:ascii="Cambria" w:hAnsi="Cambria"/>
                <w:b/>
                <w:spacing w:val="-4"/>
                <w:kern w:val="0"/>
                <w:sz w:val="26"/>
                <w:szCs w:val="22"/>
                <w:lang w:val="it-IT" w:eastAsia="en-US" w:bidi="ar-SA"/>
              </w:rPr>
              <w:t>(S)</w:t>
            </w:r>
          </w:p>
        </w:tc>
      </w:tr>
      <w:tr>
        <w:trPr>
          <w:trHeight w:val="302" w:hRule="atLeast"/>
        </w:trPr>
        <w:tc>
          <w:tcPr>
            <w:tcW w:w="2969" w:type="dxa"/>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c>
          <w:tcPr>
            <w:tcW w:w="2391" w:type="dxa"/>
            <w:tcBorders>
              <w:bottom w:val="single" w:sz="4" w:space="0" w:color="000000"/>
            </w:tcBorders>
            <w:shd w:color="auto" w:fill="F0F0F0" w:val="clear"/>
          </w:tcPr>
          <w:p>
            <w:pPr>
              <w:pStyle w:val="TableParagraph"/>
              <w:widowControl w:val="false"/>
              <w:rPr>
                <w:rFonts w:ascii="Times New Roman" w:hAnsi="Times New Roman"/>
                <w:sz w:val="18"/>
              </w:rPr>
            </w:pPr>
            <w:r>
              <w:rPr>
                <w:rFonts w:ascii="Times New Roman" w:hAnsi="Times New Roman"/>
                <w:sz w:val="18"/>
              </w:rPr>
            </w:r>
          </w:p>
        </w:tc>
        <w:tc>
          <w:tcPr>
            <w:tcW w:w="290" w:type="dxa"/>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c>
          <w:tcPr>
            <w:tcW w:w="2383" w:type="dxa"/>
            <w:tcBorders>
              <w:bottom w:val="single" w:sz="4" w:space="0" w:color="000000"/>
            </w:tcBorders>
            <w:shd w:color="auto" w:fill="F0F0F0" w:val="clear"/>
          </w:tcPr>
          <w:p>
            <w:pPr>
              <w:pStyle w:val="TableParagraph"/>
              <w:widowControl w:val="false"/>
              <w:rPr>
                <w:rFonts w:ascii="Times New Roman" w:hAnsi="Times New Roman"/>
                <w:sz w:val="18"/>
              </w:rPr>
            </w:pPr>
            <w:r>
              <w:rPr>
                <w:rFonts w:ascii="Times New Roman" w:hAnsi="Times New Roman"/>
                <w:sz w:val="18"/>
              </w:rPr>
            </w:r>
          </w:p>
        </w:tc>
        <w:tc>
          <w:tcPr>
            <w:tcW w:w="290" w:type="dxa"/>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c>
          <w:tcPr>
            <w:tcW w:w="2377" w:type="dxa"/>
            <w:tcBorders>
              <w:bottom w:val="single" w:sz="4" w:space="0" w:color="000000"/>
            </w:tcBorders>
            <w:shd w:color="auto" w:fill="F0F0F0" w:val="clear"/>
          </w:tcPr>
          <w:p>
            <w:pPr>
              <w:pStyle w:val="TableParagraph"/>
              <w:widowControl w:val="false"/>
              <w:rPr>
                <w:rFonts w:ascii="Times New Roman" w:hAnsi="Times New Roman"/>
                <w:sz w:val="18"/>
              </w:rPr>
            </w:pPr>
            <w:r>
              <w:rPr>
                <w:rFonts w:ascii="Times New Roman" w:hAnsi="Times New Roman"/>
                <w:sz w:val="18"/>
              </w:rPr>
            </w:r>
          </w:p>
        </w:tc>
      </w:tr>
      <w:tr>
        <w:trPr>
          <w:trHeight w:val="2685" w:hRule="atLeast"/>
        </w:trPr>
        <w:tc>
          <w:tcPr>
            <w:tcW w:w="2969" w:type="dxa"/>
            <w:tcBorders>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91" w:type="dxa"/>
            <w:tcBorders>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Fiocchi di latte, ricotta, primo sale, mozzarella light, formaggi spalmabili light, yogurt greco magro, kefir, formaggio fresco di capra, formaggio quark</w:t>
            </w:r>
          </w:p>
        </w:tc>
        <w:tc>
          <w:tcPr>
            <w:tcW w:w="290" w:type="dxa"/>
            <w:tcBorders>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3" w:type="dxa"/>
            <w:tcBorders>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sz w:val="18"/>
                <w:szCs w:val="18"/>
              </w:rPr>
            </w:pPr>
            <w:r>
              <w:t>Formaggi freschi semi-magri (Cottage, Quark), feta, sottilette, stracchino, mozzarella di bufala, formaggio halloumi, ricotta di pecora, formaggio feta light</w:t>
            </w:r>
          </w:p>
        </w:tc>
        <w:tc>
          <w:tcPr>
            <w:tcW w:w="290" w:type="dxa"/>
            <w:tcBorders>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77" w:type="dxa"/>
            <w:tcBorders>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sz w:val="18"/>
                <w:szCs w:val="18"/>
              </w:rPr>
            </w:pPr>
            <w:r>
              <w:t>Caciotta, Edam, Caciocavallo, Provolone, Scamorze, Caprino a crosta fiorita e stagionata, Taleggio, Fontina, Burrata, Stracciatella, formaggi spalmabili, mascarpone, gorgonzola</w:t>
            </w:r>
          </w:p>
        </w:tc>
      </w:tr>
      <w:tr>
        <w:trPr>
          <w:trHeight w:val="323" w:hRule="atLeast"/>
        </w:trPr>
        <w:tc>
          <w:tcPr>
            <w:tcW w:w="10700" w:type="dxa"/>
            <w:gridSpan w:val="6"/>
            <w:tcBorders/>
            <w:tcMar>
              <w:top w:w="55" w:type="dxa"/>
              <w:left w:w="55" w:type="dxa"/>
              <w:bottom w:w="55" w:type="dxa"/>
              <w:right w:w="55" w:type="dxa"/>
            </w:tcMar>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2969"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91"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sz w:val="18"/>
                <w:szCs w:val="18"/>
              </w:rPr>
            </w:pPr>
            <w:r>
              <w:t>Piselli, fave, fagioli (borlotti, cannellini, neri), ceci, lenticchie comuni, lupini, fagioli azuki, fagioli mung, edamame, soia gialla</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Edamame, fagioli bianchi, fagioli rossi, lenticchie verdi, ceci neri, fagioli pinto, fagioli lima</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77"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Legumi in scatola, lenticchie rosse, fagioli precotti, hummus industriale, falafel fritti</w:t>
            </w:r>
          </w:p>
        </w:tc>
      </w:tr>
      <w:tr>
        <w:trPr>
          <w:trHeight w:val="311" w:hRule="atLeast"/>
        </w:trPr>
        <w:tc>
          <w:tcPr>
            <w:tcW w:w="10700"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2969"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9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Frittata, strapazzate, in camicia, sode, al vapore</w:t>
            </w:r>
          </w:p>
        </w:tc>
        <w:tc>
          <w:tcPr>
            <w:tcW w:w="290"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18"/>
                <w:szCs w:val="18"/>
              </w:rPr>
            </w:pPr>
            <w:r>
              <w:t>Uovo fritto, al tegamino, omelette, uova di quaglia</w:t>
            </w:r>
          </w:p>
        </w:tc>
        <w:tc>
          <w:tcPr>
            <w:tcW w:w="290"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77"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Uova in preparazioni dolci, maionese, uova in salamoia</w:t>
            </w:r>
          </w:p>
        </w:tc>
      </w:tr>
    </w:tbl>
    <w:p>
      <w:pPr>
        <w:pStyle w:val="Normal"/>
        <w:spacing w:before="20" w:after="0"/>
        <w:rPr>
          <w:b/>
          <w:b/>
        </w:rPr>
      </w:pPr>
      <w:r>
        <w:rPr>
          <w:b/>
        </w:rPr>
      </w:r>
      <w:r>
        <w:br w:type="page"/>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pageBreakBefore/>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 E TUBERI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Pasta di semola integrale, orzo, farro, riso rosso, riso venere, riso basmati, riso thai, riso selvatico, riso integrale, pane integrale</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Orzo perlato, segale, avena, mais giallo, pasta di semola, miglio, kamut, cracker, patate, patate dolci, pane azzimo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Riso bianco, grissini, gallette di mais, gallette di riso, merendine e dolci in genere, pane bianco, focaccia, pizza</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18"/>
                <w:szCs w:val="18"/>
              </w:rPr>
            </w:pPr>
            <w:r>
              <w:t>Grano saraceno, quinoa, amaranto, canapa, pasta di legumi, miglio, teff</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18"/>
                <w:szCs w:val="18"/>
              </w:rPr>
            </w:pPr>
            <w:r>
              <w:t>Chia, cous cous, gallette di grano saraceno, bulgur, fonio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18"/>
                <w:szCs w:val="18"/>
              </w:rPr>
            </w:pPr>
            <w:r>
              <w:t>Merendine e dolci in genere, barrette energetiche, cereali per colazione zuccherati</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18"/>
                <w:szCs w:val="18"/>
              </w:rPr>
            </w:pPr>
            <w:r>
              <w:t>Fragole, pesche bianche, lamponi, cocco, ribes rosso, frutti di bosco, mirtilli, papaya, kiwi, melograno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18"/>
                <w:szCs w:val="18"/>
              </w:rPr>
            </w:pPr>
            <w:r>
              <w:t>Albicocche, pompelmo, arance, pesche bianche, ananas, banane, mele, pere, prugne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18"/>
                <w:szCs w:val="18"/>
              </w:rPr>
            </w:pPr>
            <w:r>
              <w:t>Cachi, uva, fichi, ciliegie, mele, pere, nespole, melone, anguria, pesche gialle, frutta sciroppata, frutta candita</w:t>
            </w:r>
          </w:p>
        </w:tc>
      </w:tr>
    </w:tbl>
    <w:p>
      <w:pPr>
        <w:pStyle w:val="TextBody"/>
        <w:spacing w:before="197" w:after="0"/>
        <w:rPr>
          <w:b/>
          <w:b/>
        </w:rPr>
      </w:pPr>
      <w:r>
        <w:rPr>
          <w:b/>
        </w:rPr>
      </w:r>
      <w:r>
        <w:br w:type="page"/>
      </w:r>
    </w:p>
    <w:p>
      <w:pPr>
        <w:pStyle w:val="TextBody"/>
        <w:rPr/>
      </w:pPr>
      <w:r>
        <w:rPr/>
      </w:r>
    </w:p>
    <w:p>
      <w:pPr>
        <w:pStyle w:val="TextBody"/>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Frutta secca (mandorle, noci, nocciole, pistacchi), olive, avocado, olio extra vergine di oliva, cocco fresco, cioccolato fondente all'85%, semi di lino, semi di chia, semi di zucca, semi di girasole</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18"/>
                <w:szCs w:val="18"/>
              </w:rPr>
            </w:pPr>
            <w:r>
              <w:t>Pesce come: salmone, tonno, pesce spada, sgombro, sardine, aringa</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Ketchup e senape halal, maionese light halal</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Olio di palma, olio di cocco, burro, strutto, margarina, lardo, insaccati, formaggi grassi, carboidrati raffinati, fritture, maionese</w:t>
            </w:r>
          </w:p>
        </w:tc>
      </w:tr>
    </w:tbl>
    <w:p>
      <w:pPr>
        <w:sectPr>
          <w:headerReference w:type="default" r:id="rId4"/>
          <w:footerReference w:type="default" r:id="rId5"/>
          <w:type w:val="nextPage"/>
          <w:pgSz w:w="11930" w:h="16860"/>
          <w:pgMar w:left="500" w:right="420" w:gutter="0" w:header="718" w:top="2360" w:footer="556" w:bottom="1081"/>
          <w:pgNumType w:fmt="decimal"/>
          <w:formProt w:val="false"/>
          <w:textDirection w:val="lrTb"/>
          <w:docGrid w:type="default" w:linePitch="100" w:charSpace="0"/>
        </w:sectPr>
        <w:pStyle w:val="TextBody"/>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TextBody"/>
        <w:spacing w:lineRule="auto" w:line="276" w:before="280" w:after="0"/>
        <w:ind w:left="239" w:right="338" w:hanging="0"/>
        <w:jc w:val="left"/>
        <w:rPr/>
      </w:pPr>
      <w:r>
        <w:t>Verdure consigliate in base al tuo profilo genetico: spinaci, cavolo riccio, bietole, lattuga romana, rucola, broccoli, cavolfiore, cavoletti di Bruxelles, cavolo cappuccio, rapa, zucchine, cetrioli, peperoni, asparagi, funghi, sedano, melanzane, pomodori, carote, radicchio, finocchi, carciofi, fagiolini, indivia, cicoria. Per limitare il rischio di insorgenza di Sindrome Metabolica, è consigliato un consumo di verdura &gt; 300gr al giorno, suddiviso tra il pranzo e la cena. Una verdura cruda prima del pasto (lattuga, rucola, finocchio, sedano, cetriolo, radicchio) aiuta ad abbassare l'indice glicemico dell'intero pasto e promuove la funzionalità del fegato.</w:t>
      </w:r>
    </w:p>
    <w:p>
      <w:pPr>
        <w:pStyle w:val="TextBody"/>
        <w:spacing w:before="280" w:after="0"/>
        <w:ind w:left="239" w:right="338" w:hanging="0"/>
        <w:jc w:val="both"/>
        <w:rPr/>
      </w:pPr>
      <w:r>
        <w:rPr>
          <w:rFonts w:ascii="Cambria" w:hAnsi="Cambria"/>
          <w:b/>
          <w:i/>
          <w:color w:val="FF0000"/>
          <w:spacing w:val="-2"/>
          <w:sz w:val="36"/>
        </w:rPr>
        <w:t>INTEGRATORI</w:t>
      </w:r>
    </w:p>
    <w:p>
      <w:pPr>
        <w:pStyle w:val="TextBody"/>
        <w:spacing w:lineRule="auto" w:line="276" w:before="280" w:after="0"/>
        <w:ind w:left="239" w:right="338" w:hanging="0"/>
        <w:jc w:val="left"/>
        <w:rPr/>
      </w:pPr>
      <w:r>
        <w:t>Tipo: Vitamina D</w:t>
        <w:br/>
        <w:t>Dosaggio: 400-600 UI al giorno</w:t>
        <w:br/>
        <w:t>Motivazione: Per supportare la salute delle ossa e del sistema immunitario, specialmente in caso di scarsa esposizione al sole</w:t>
        <w:br/>
        <w:br/>
        <w:t>Tipo: Probiotici</w:t>
        <w:br/>
        <w:t>Dosaggio: 1-10 miliardi di CFU al giorno</w:t>
        <w:br/>
        <w:t>Motivazione: Per supportare la salute intestinale e il sistema immunitario</w:t>
        <w:br/>
        <w:br/>
        <w:t>Tipo: Omega-3</w:t>
        <w:br/>
        <w:t>Dosaggio: 250-500 mg al giorno di EPA e DHA combinati</w:t>
        <w:br/>
        <w:t>Motivazione: Per supportare lo sviluppo cerebrale e la salute cardiovascolare</w:t>
      </w:r>
    </w:p>
    <w:p>
      <w:pPr>
        <w:pStyle w:val="TextBody"/>
        <w:spacing w:lineRule="auto" w:line="276" w:before="280" w:after="0"/>
        <w:ind w:left="239" w:right="338" w:hanging="0"/>
        <w:jc w:val="left"/>
        <w:rPr>
          <w:rFonts w:ascii="Calibri" w:hAnsi="Calibri"/>
          <w:sz w:val="20"/>
          <w:szCs w:val="20"/>
        </w:rPr>
      </w:pPr>
      <w:r>
        <w:rPr>
          <w:rFonts w:ascii="Calibri" w:hAnsi="Calibri"/>
          <w:b/>
          <w:bCs/>
          <w:i w:val="false"/>
          <w:caps w:val="false"/>
          <w:smallCaps w:val="false"/>
          <w:color w:val="000000"/>
          <w:spacing w:val="0"/>
          <w:sz w:val="20"/>
          <w:szCs w:val="20"/>
          <w:u w:val="single"/>
          <w:lang w:val="en-US"/>
        </w:rPr>
        <w:t>Attenzione</w:t>
      </w:r>
      <w:r>
        <w:rPr>
          <w:rFonts w:ascii="Calibri" w:hAnsi="Calibri"/>
          <w:b w:val="false"/>
          <w:i w:val="false"/>
          <w:caps w:val="false"/>
          <w:smallCaps w:val="false"/>
          <w:color w:val="000000"/>
          <w:spacing w:val="0"/>
          <w:sz w:val="20"/>
          <w:szCs w:val="20"/>
          <w:lang w:val="en-US"/>
        </w:rPr>
        <w:t>: Si consiglia di verificare mediante analisi cliniche la reale necessità di Integrazione.</w:t>
      </w:r>
    </w:p>
    <w:sectPr>
      <w:headerReference w:type="default" r:id="rId6"/>
      <w:footerReference w:type="default" r:id="rId7"/>
      <w:type w:val="nextPage"/>
      <w:pgSz w:w="11930" w:h="16860"/>
      <w:pgMar w:left="500" w:right="420" w:gutter="0" w:header="718" w:top="2360" w:footer="556" w:bottom="108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roman"/>
    <w:pitch w:val="default"/>
  </w:font>
  <w:font w:name="Times New Roman">
    <w:charset w:val="01"/>
    <w:family w:val="roman"/>
    <w:pitch w:val="default"/>
  </w:font>
  <w:font w:name="Arial">
    <w:charset w:val="01"/>
    <w:family w:val="roman"/>
    <w:pitch w:val="default"/>
  </w:font>
  <w:font w:name="Cambria">
    <w:charset w:val="01"/>
    <w:family w:val="roman"/>
    <w:pitch w:val="default"/>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pPr>
    <w:r>
      <w:rPr/>
      <mc:AlternateContent>
        <mc:Choice Requires="wpg">
          <w:drawing>
            <wp:anchor behindDoc="1" distT="1270" distB="0" distL="0" distR="635" simplePos="0" locked="0" layoutInCell="0" allowOverlap="1" relativeHeight="8">
              <wp:simplePos x="0" y="0"/>
              <wp:positionH relativeFrom="page">
                <wp:posOffset>396240</wp:posOffset>
              </wp:positionH>
              <wp:positionV relativeFrom="page">
                <wp:posOffset>10169525</wp:posOffset>
              </wp:positionV>
              <wp:extent cx="6758940" cy="267970"/>
              <wp:effectExtent l="0" t="1270" r="635" b="0"/>
              <wp:wrapNone/>
              <wp:docPr id="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8320" y="5760"/>
                          <a:ext cx="67068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72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8320" y="5760"/>
                          <a:ext cx="720" cy="3924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8320" y="0"/>
                          <a:ext cx="669240" cy="7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8320" y="228600"/>
                          <a:ext cx="669240" cy="3924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21">
              <wp:simplePos x="0" y="0"/>
              <wp:positionH relativeFrom="page">
                <wp:posOffset>467360</wp:posOffset>
              </wp:positionH>
              <wp:positionV relativeFrom="page">
                <wp:posOffset>10213975</wp:posOffset>
              </wp:positionV>
              <wp:extent cx="3241675" cy="143510"/>
              <wp:effectExtent l="0" t="0" r="0" b="0"/>
              <wp:wrapNone/>
              <wp:docPr id="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5">
              <wp:simplePos x="0" y="0"/>
              <wp:positionH relativeFrom="page">
                <wp:posOffset>6515100</wp:posOffset>
              </wp:positionH>
              <wp:positionV relativeFrom="page">
                <wp:posOffset>10243820</wp:posOffset>
              </wp:positionV>
              <wp:extent cx="160020" cy="165735"/>
              <wp:effectExtent l="0" t="0" r="0" b="0"/>
              <wp:wrapNone/>
              <wp:docPr id="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pPr>
    <w:r>
      <w:rPr/>
      <mc:AlternateContent>
        <mc:Choice Requires="wpg">
          <w:drawing>
            <wp:anchor behindDoc="1" distT="1270" distB="0" distL="0" distR="635" simplePos="0" locked="0" layoutInCell="0" allowOverlap="1" relativeHeight="5">
              <wp:simplePos x="0" y="0"/>
              <wp:positionH relativeFrom="page">
                <wp:posOffset>396240</wp:posOffset>
              </wp:positionH>
              <wp:positionV relativeFrom="page">
                <wp:posOffset>10169525</wp:posOffset>
              </wp:positionV>
              <wp:extent cx="6758940" cy="267970"/>
              <wp:effectExtent l="0" t="1270" r="635" b="0"/>
              <wp:wrapNone/>
              <wp:docPr id="6"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8320" y="5760"/>
                          <a:ext cx="67068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72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8320" y="5760"/>
                          <a:ext cx="720" cy="3924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8320" y="0"/>
                          <a:ext cx="669240" cy="7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8320" y="228600"/>
                          <a:ext cx="669240" cy="3924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5">
              <wp:simplePos x="0" y="0"/>
              <wp:positionH relativeFrom="page">
                <wp:posOffset>467360</wp:posOffset>
              </wp:positionH>
              <wp:positionV relativeFrom="page">
                <wp:posOffset>10213975</wp:posOffset>
              </wp:positionV>
              <wp:extent cx="3241675" cy="143510"/>
              <wp:effectExtent l="0" t="0" r="0" b="0"/>
              <wp:wrapNone/>
              <wp:docPr id="7"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9">
              <wp:simplePos x="0" y="0"/>
              <wp:positionH relativeFrom="page">
                <wp:posOffset>6515100</wp:posOffset>
              </wp:positionH>
              <wp:positionV relativeFrom="page">
                <wp:posOffset>10243820</wp:posOffset>
              </wp:positionV>
              <wp:extent cx="160020" cy="165735"/>
              <wp:effectExtent l="0" t="0" r="0" b="0"/>
              <wp:wrapNone/>
              <wp:docPr id="9"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pPr>
    <w:r>
      <w:rPr/>
      <mc:AlternateContent>
        <mc:Choice Requires="wpg">
          <w:drawing>
            <wp:anchor behindDoc="1" distT="1270" distB="0" distL="0" distR="635" simplePos="0" locked="0" layoutInCell="0" allowOverlap="1" relativeHeight="2">
              <wp:simplePos x="0" y="0"/>
              <wp:positionH relativeFrom="page">
                <wp:posOffset>396240</wp:posOffset>
              </wp:positionH>
              <wp:positionV relativeFrom="page">
                <wp:posOffset>10169525</wp:posOffset>
              </wp:positionV>
              <wp:extent cx="6758940" cy="267970"/>
              <wp:effectExtent l="0" t="1270" r="635" b="0"/>
              <wp:wrapNone/>
              <wp:docPr id="1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8320" y="5760"/>
                          <a:ext cx="67068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72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8320" y="5760"/>
                          <a:ext cx="720" cy="3924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8320" y="0"/>
                          <a:ext cx="669240" cy="7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8320" y="228600"/>
                          <a:ext cx="669240" cy="3924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9">
              <wp:simplePos x="0" y="0"/>
              <wp:positionH relativeFrom="page">
                <wp:posOffset>467360</wp:posOffset>
              </wp:positionH>
              <wp:positionV relativeFrom="page">
                <wp:posOffset>10213975</wp:posOffset>
              </wp:positionV>
              <wp:extent cx="3241675" cy="143510"/>
              <wp:effectExtent l="0" t="0" r="0" b="0"/>
              <wp:wrapNone/>
              <wp:docPr id="1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3">
              <wp:simplePos x="0" y="0"/>
              <wp:positionH relativeFrom="page">
                <wp:posOffset>6515100</wp:posOffset>
              </wp:positionH>
              <wp:positionV relativeFrom="page">
                <wp:posOffset>10243820</wp:posOffset>
              </wp:positionV>
              <wp:extent cx="160020" cy="165735"/>
              <wp:effectExtent l="0" t="0" r="0" b="0"/>
              <wp:wrapNone/>
              <wp:docPr id="1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7</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7</w:t>
                    </w:r>
                    <w:r>
                      <w:rPr>
                        <w:sz w:val="22"/>
                        <w:spacing w:val="-10"/>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Junior_carie.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Junior_carie.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Junior_carie.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6"/>
      <w:szCs w:val="22"/>
      <w:lang w:val="it-IT" w:eastAsia="en-US" w:bidi="ar-SA"/>
    </w:rPr>
  </w:style>
  <w:style w:type="paragraph" w:styleId="Heading1">
    <w:name w:val="Heading 1"/>
    <w:basedOn w:val="Normal"/>
    <w:uiPriority w:val="1"/>
    <w:qFormat/>
    <w:pPr>
      <w:spacing w:before="264" w:after="0"/>
      <w:ind w:left="615" w:right="0" w:hanging="0"/>
      <w:outlineLvl w:val="1"/>
    </w:pPr>
    <w:rPr>
      <w:rFonts w:ascii="Calibri" w:hAnsi="Calibri" w:eastAsia="Calibri" w:cs="Calibri"/>
      <w:b/>
      <w:bCs/>
      <w:sz w:val="32"/>
      <w:szCs w:val="32"/>
      <w:lang w:val="it-IT"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rFonts w:ascii="Calibri" w:hAnsi="Calibri" w:eastAsia="Calibri" w:cs="Calibri"/>
      <w:sz w:val="20"/>
      <w:szCs w:val="20"/>
      <w:lang w:val="it-IT" w:eastAsia="en-US" w:bidi="ar-SA"/>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lang w:val="it-IT" w:eastAsia="en-US" w:bidi="ar-SA"/>
    </w:rPr>
  </w:style>
  <w:style w:type="paragraph" w:styleId="TableParagraph">
    <w:name w:val="Table Paragraph"/>
    <w:basedOn w:val="Normal"/>
    <w:uiPriority w:val="1"/>
    <w:qFormat/>
    <w:pPr/>
    <w:rPr>
      <w:rFonts w:ascii="Calibri" w:hAnsi="Calibri" w:eastAsia="Calibri" w:cs="Calibri"/>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210</TotalTime>
  <Application>LibreOffice/7.3.7.2$Linux_X86_64 LibreOffice_project/30$Build-2</Application>
  <AppVersion>15.0000</AppVersion>
  <Pages>7</Pages>
  <Words>469</Words>
  <Characters>2936</Characters>
  <CharactersWithSpaces>3306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2024-07-11T14:36:06Z</dcterms:created>
  <dc:creator>Alessandra</dc:creator>
  <dc:description/>
  <dc:language>en-US</dc:language>
  <cp:lastModifiedBy/>
  <dcterms:modified xsi:type="dcterms:W3CDTF">2024-11-04T12:13:37Z</dcterms:modified>
  <cp:revision>44</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per Microsoft 365</vt:lpwstr>
  </property>
  <property fmtid="{D5CDD505-2E9C-101B-9397-08002B2CF9AE}" pid="4" name="LastSaved">
    <vt:filetime>2024-07-11T00:00:00Z</vt:filetime>
  </property>
  <property fmtid="{D5CDD505-2E9C-101B-9397-08002B2CF9AE}" pid="5" name="Producer">
    <vt:lpwstr>Microsoft® Word per Microsoft 365</vt:lpwstr>
  </property>
</Properties>
</file>