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(Lieve)</w:t>
        <w:br/>
        <w:t>Predisposizione malattie cardiovascolari (Lieve)</w:t>
        <w:br/>
        <w:t>Predisposizione all'aumento di peso (Lieve)</w:t>
        <w:br/>
        <w:t>Intolleranza al glutine</w:t>
        <w:br/>
        <w:t>Predisposizione genetica all'elevata sensibilità alla Caffeina (metabolizzatore lento)</w:t>
        <w:br/>
        <w:t>Predisposizione genetica alla carenza di Vitamina D</w:t>
        <w:br/>
        <w:t>Dieta vegana</w:t>
      </w:r>
    </w:p>
    <w:p>
      <w:pPr>
        <w:pStyle w:val="TextBody"/>
        <w:rPr>
          <w:rFonts w:ascii="Calibri" w:hAnsi="Calibri"/>
        </w:rPr>
      </w:pPr>
      <w:r>
        <w:rPr/>
      </w:r>
    </w:p>
    <w:p>
      <w:pPr>
        <w:pStyle w:val="TextBody"/>
        <w:spacing w:lineRule="auto" w:line="276"/>
        <w:rPr/>
      </w:pPr>
      <w:r>
        <w:t>Il profilo genetico della paziente ha evidenziato diverse predisposizioni e condizioni che richiedono un'attenzione particolare nella gestione della sua alimentazione e del suo stile di vita. Analizziamo in dettaglio ciascuna di queste condizioni:</w:t>
        <w:br/>
        <w:br/>
        <w:t>1. Predisposizione al diabete di tipo 2 (Lieve):</w:t>
        <w:br/>
        <w:t>La paziente presenta una lieve predisposizione genetica al diabete di tipo 2. Questo significa che il suo rischio di sviluppare questa condizione è leggermente più alto rispetto alla popolazione generale. Il diabete di tipo 2 è una malattia metabolica caratterizzata da alti livelli di glucosio nel sangue a causa di una resistenza all'insulina o di una produzione insufficiente di insulina da parte del pancreas.</w:t>
        <w:br/>
        <w:br/>
        <w:t>Nonostante la predisposizione sia lieve, è importante adottare misure preventive fin dalla giovane età. Queste includono:</w:t>
        <w:br/>
        <w:t>- Mantenere un peso corporeo sano (attualmente la paziente è sottopeso, quindi questo aspetto dovrà essere monitorato attentamente)</w:t>
        <w:br/>
        <w:t>- Seguire una dieta equilibrata ricca di fibre, proteine vegetali e grassi sani</w:t>
        <w:br/>
        <w:t>- Limitare l'assunzione di zuccheri semplici e carboidrati raffinati</w:t>
        <w:br/>
        <w:t>- Praticare regolarmente attività fisica</w:t>
        <w:br/>
        <w:br/>
        <w:t>2. Predisposizione alle malattie cardiovascolari (Lieve):</w:t>
        <w:br/>
        <w:t>La paziente presenta anche una lieve predisposizione alle malattie cardiovascolari. Le malattie cardiovascolari comprendono una vasta gamma di condizioni che colpiscono il cuore e i vasi sanguigni, come l'aterosclerosi, l'ipertensione e le malattie coronariche.</w:t>
        <w:br/>
        <w:br/>
        <w:t>Per ridurre il rischio di sviluppare malattie cardiovascolari, si consiglia di:</w:t>
        <w:br/>
        <w:t>- Mantenere una dieta ricca di frutta, verdura, cereali integrali e proteine vegetali</w:t>
        <w:br/>
        <w:t>- Limitare l'assunzione di grassi saturi e trans</w:t>
        <w:br/>
        <w:t>- Praticare regolarmente attività fisica</w:t>
        <w:br/>
        <w:t>- Evitare il fumo (quando sarà più grande)</w:t>
        <w:br/>
        <w:t>- Gestire lo stress attraverso tecniche di rilassamento</w:t>
        <w:br/>
        <w:br/>
        <w:t>3. Predisposizione all'aumento di peso (Lieve):</w:t>
        <w:br/>
        <w:t>Nonostante la paziente sia attualmente sottopeso, presenta una lieve predisposizione genetica all'aumento di peso. Questo significa che potrebbe essere più suscettibile all'aumento di peso in futuro se non adotta uno stile di vita sano.</w:t>
        <w:br/>
        <w:br/>
        <w:t>Per gestire questa predisposizione, si consiglia di:</w:t>
        <w:br/>
        <w:t>- Mantenere una dieta equilibrata con un adeguato apporto calorico</w:t>
        <w:br/>
        <w:t>- Praticare regolarmente attività fisica</w:t>
        <w:br/>
        <w:t>- Evitare cibi ad alta densità calorica e poveri di nutrienti</w:t>
        <w:br/>
        <w:t>- Imparare a riconoscere i segnali di fame e sazietà</w:t>
        <w:br/>
        <w:br/>
        <w:t>4. Intolleranza al glutine:</w:t>
        <w:br/>
        <w:t>La paziente presenta una predisposizione genetica all'intolleranza al glutine. La celiachia o morbo celiaco è una malattia autoimmune cronica causata da una reazione anomala alla gliadina, proteina del glutine contenuta in molti cereali. La malattia celiaca si sviluppa in individui geneticamente predisposti.</w:t>
        <w:br/>
        <w:br/>
        <w:t>In particolare, lo sviluppo della celiachia è associato in letteratura scientifica alla presenza di specifiche varianti di geni del sistema immunitario, le glicoproteine HLA (Capittini C, et. al. Medicina (Kaunas). 2019 May 22;55(5):190.)</w:t>
        <w:br/>
        <w:br/>
        <w:t>Data questa predisposizione, si consiglia di:</w:t>
        <w:br/>
        <w:t>- Evitare completamente gli alimenti contenenti glutine (frumento, orzo, segale, farro, kamut)</w:t>
        <w:br/>
        <w:t>- Optare per cereali e pseudo-cereali naturalmente privi di glutine come riso, mais, quinoa, grano saraceno, amaranto</w:t>
        <w:br/>
        <w:t>- Leggere attentamente le etichette dei prodotti alimentari per evitare contaminazioni crociate</w:t>
        <w:br/>
        <w:t>- Consultare un gastroenterologo pediatrico per valutare l'opportunità di effettuare test diagnostici specifici per la celiachia</w:t>
        <w:br/>
        <w:br/>
        <w:t>5. Predisposizione genetica all'elevata sensibilità alla Caffeina (metabolizzatore lento):</w:t>
        <w:br/>
        <w:t>La paziente presenta una predisposizione genetica all'elevata sensibilità alla caffeina, essendo un metabolizzatore lento. Questo significa che il suo organismo impiega più tempo per metabolizzare la caffeina, il che potrebbe avere effetti negativi sulla sua salute.</w:t>
        <w:br/>
        <w:br/>
        <w:t>Il Dr. Ahmed El-Sohemy, professore nel dipartimento di scienze nutrizionali dell'Università di Toronto, ha condotto studi che hanno dimostrato come la caffeina abbia un effetto diverso sul genoma delle persone. In particolare, per i metabolizzatori lenti, il consumo maggiore di 3-4 tazzine di caffè al giorno aumenta del 36% il rischio di infarto.</w:t>
        <w:br/>
        <w:br/>
        <w:t>Considerando che la paziente ha solo 8 anni, si consiglia di:</w:t>
        <w:br/>
        <w:t>- Evitare completamente il consumo di caffè e altre bevande contenenti caffeina</w:t>
        <w:br/>
        <w:t>- Limitare il consumo di cioccolato, che contiene piccole quantità di caffeina</w:t>
        <w:br/>
        <w:t>- Essere consapevoli che alcuni farmaci e integratori possono contenere caffeina</w:t>
        <w:br/>
        <w:br/>
        <w:t>6. Predisposizione genetica alla carenza di Vitamina D:</w:t>
        <w:br/>
        <w:t>La paziente presenta una predisposizione genetica alla carenza di Vitamina D. La Vitamina D è di fondamentale importanza per diversi processi: il riassorbimento di calcio e fosforo a livello renale e intestinale, la mineralizzazione dell'osso, la salute cardiovascolare e inoltre regola la produzione e impedisce l'esaurimento di neurotrasmettitori (adrenalina, noradrenalina, dopamina e serotonina), la cui carenza è direttamente connessa allo sviluppo di depressione.</w:t>
        <w:br/>
        <w:br/>
        <w:t>La Vitamina D, all'interno dell'organismo, è trasportata dalla Proteina Legante la Vitamina D (DBP), una proteina appartenente alla famiglia genetica dell'albumina umana del siero e dell'alfa-fetoproteina. La troviamo maggiormente all'interno del sangue, a causa dell'elevata concentrazione di Vitamina D. È in grado di trasportare i metaboliti di questa vitamina nella pelle, nel fegato, nei reni e in molti altri tessuti.</w:t>
        <w:br/>
        <w:br/>
        <w:t>Una carenza della sintesi genetica della DBP causa una riduzione della Vitamina D nell'organismo, ovvero una ipovitaminosi D. Le principali conseguenze della carenza di Vitamina D sono il Rachitismo, nei soggetti di giovane e giovanissima età, e l'Osteomalacia e l'Osteoporosi, negli individui adulti.</w:t>
        <w:br/>
        <w:br/>
        <w:t>Per gestire questa predisposizione, si consiglia di:</w:t>
        <w:br/>
        <w:t>- Assicurare un'adeguata esposizione solare (con le dovute precauzioni)</w:t>
        <w:br/>
        <w:t>- Integrare la dieta con alimenti ricchi di Vitamina D o fortificati (tenendo conto della dieta vegana)</w:t>
        <w:br/>
        <w:t>- Considerare l'integrazione di Vitamina D sotto supervisione medica</w:t>
        <w:br/>
        <w:t>- Effettuare regolari controlli dei livelli di Vitamina D nel sangue</w:t>
        <w:br/>
        <w:br/>
        <w:t>7. Dieta vegana:</w:t>
        <w:br/>
        <w:t>La paziente segue una dieta vegana, che esclude tutti i prodotti di origine animale. Mentre una dieta vegana ben pianificata può essere adeguata per tutte le fasi della vita, richiede un'attenta pianificazione per garantire un apporto adeguato di tutti i nutrienti essenziali.</w:t>
        <w:br/>
        <w:br/>
        <w:t>Considerando la giovane età della paziente e le sue predisposizioni genetiche, è fondamentale prestare particolare attenzione a:</w:t>
        <w:br/>
        <w:t>- Proteine: assicurare un adeguato apporto di proteine vegetali complete attraverso la combinazione di legumi, cereali, frutta secca e semi</w:t>
        <w:br/>
        <w:t>- Vitamina B12: questa vitamina è naturalmente presente solo in alimenti di origine animale, quindi è necessaria un'integrazione</w:t>
        <w:br/>
        <w:t>- Ferro: le fonti vegetali di ferro hanno un assorbimento inferiore rispetto alle fonti animali, quindi è importante consumare alimenti ricchi di ferro insieme a fonti di vitamina C per migliorarne l'assorbimento</w:t>
        <w:br/>
        <w:t>- Calcio: in assenza di latticini, è importante includere fonti vegetali di calcio come verdure a foglia verde, tofu preparato con calcio, bevande vegetali fortificate</w:t>
        <w:br/>
        <w:t>- Omega-3: le fonti vegetali di omega-3 (ALA) devono essere convertite in DHA ed EPA dall'organismo, un processo non sempre efficiente. Potrebbe essere necessario considerare un'integrazione di omega-3 da fonti vegetali come le alghe</w:t>
        <w:br/>
        <w:br/>
        <w:t>In conclusione, il profilo genetico della paziente richiede un approccio nutrizionale personalizzato che tenga conto di tutte queste predisposizioni e della sua scelta di seguire una dieta vegana. È fondamentale lavorare a stretto contatto con un team di professionisti della salute, inclusi un pediatra, un nutrizionista specializzato in diete vegane e un genetista, per garantire una crescita e uno sviluppo ottimali, prevenendo al contempo le potenziali complicazioni legate alle sue predisposizioni genetiche. Regolari controlli medici e adeguamenti del piano alimentare saranno necessari man mano che la paziente cresce e le sue esigenze nutrizionali cambiano.</w:t>
      </w:r>
    </w:p>
    <w:p>
      <w:pPr>
        <w:pStyle w:val="TextBody"/>
        <w:spacing w:lineRule="auto" w:line="276"/>
        <w:rPr/>
      </w:pPr>
      <w:r>
        <w:rPr/>
      </w:r>
      <w:r>
        <w:br w:type="page"/>
      </w:r>
    </w:p>
    <w:p>
      <w:pPr>
        <w:pStyle w:val="TextBody"/>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TextBody"/>
        <w:spacing w:before="23" w:after="0"/>
        <w:rPr>
          <w:b/>
          <w:b/>
        </w:rPr>
      </w:pPr>
      <w:r>
        <w:rPr>
          <w:b/>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86"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89"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88"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left="124"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pacing w:before="267"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pPr>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pPr>
            <w:r>
              <w:t>Piselli, fave, fagioli (neri, borlotti, cannellini), ceci, lenticchie comuni, lenticchie rosse, lupini</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Edamame</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Legumi in scatola, soia</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bl>
    <w:p>
      <w:pPr>
        <w:sectPr>
          <w:headerReference w:type="default" r:id="rId2"/>
          <w:footerReference w:type="default" r:id="rId3"/>
          <w:type w:val="nextPage"/>
          <w:pgSz w:w="11930" w:h="16860"/>
          <w:pgMar w:left="500" w:right="420" w:gutter="0" w:header="718" w:top="2360" w:footer="556" w:bottom="1081"/>
          <w:pgNumType w:fmt="decimal"/>
          <w:formProt w:val="false"/>
          <w:textDirection w:val="lrTb"/>
          <w:docGrid w:type="default" w:linePitch="100" w:charSpace="4294959103"/>
        </w:sectPr>
      </w:pPr>
    </w:p>
    <w:p>
      <w:pPr>
        <w:pStyle w:val="TextBody"/>
        <w:spacing w:before="20" w:after="0"/>
        <w:rPr>
          <w:b/>
          <w:b/>
        </w:rPr>
      </w:pPr>
      <w:r>
        <w:rPr>
          <w:b/>
        </w:rPr>
      </w:r>
    </w:p>
    <w:p>
      <w:pPr>
        <w:pStyle w:val="TextBody"/>
        <w:spacing w:before="20" w:after="0"/>
        <w:rPr>
          <w:b/>
          <w:b/>
        </w:rPr>
      </w:pP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Riso rosso, riso venere, riso basmati, riso thai, mais bianco, miglio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Mais giallo, riso bianco, patate, patate dolci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Pasta di semola, pasta di semola integrale, orzo, farro, grissini, cracker, gallette di mais, gallette di riso, merendine e dolci in genere</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pPr>
            <w:r>
              <w:t>Grano saraceno, quinoa, amaranto, canapa, chia, pasta di legumi, cous cous</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22"/>
              </w:rPr>
            </w:pPr>
            <w:r>
              <w:t>Gallette di grano saraceno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22"/>
              </w:rPr>
            </w:pPr>
            <w: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Mele, pere, nespole, fragole, pesche bianche, lamponi, cocco, ribes, rosso, frutti di bosco mirtilli, papaya</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Albicocche, pompelmo, arance, pesche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Banane, cachi, uva, fichi, ciliegie, mele, pere, nespole, melone, anguria</w:t>
            </w:r>
          </w:p>
        </w:tc>
      </w:tr>
    </w:tbl>
    <w:p>
      <w:pPr>
        <w:pStyle w:val="TextBody"/>
        <w:spacing w:before="197" w:after="0"/>
        <w:rPr>
          <w:b/>
          <w:b/>
        </w:rPr>
      </w:pPr>
      <w:r>
        <w:rPr>
          <w:b/>
        </w:rPr>
      </w:r>
      <w:r>
        <w:br w:type="page"/>
      </w:r>
    </w:p>
    <w:p>
      <w:pPr>
        <w:pStyle w:val="TextBody"/>
        <w:rPr/>
      </w:pPr>
      <w:r>
        <w:rPr/>
      </w:r>
    </w:p>
    <w:p>
      <w:pPr>
        <w:pStyle w:val="TextBody"/>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Frutta secca, olive, avocado, olio extra vergine di oliva, cocco fresco, cioccolato fondente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Olio di palma, olio di cocco, margarina, carboidrati raffinati, fritture</w:t>
            </w:r>
          </w:p>
        </w:tc>
      </w:tr>
    </w:tbl>
    <w:p>
      <w:pPr>
        <w:sectPr>
          <w:headerReference w:type="default" r:id="rId4"/>
          <w:footerReference w:type="default" r:id="rId5"/>
          <w:type w:val="nextPage"/>
          <w:pgSz w:w="11930" w:h="16860"/>
          <w:pgMar w:left="500" w:right="420" w:gutter="0" w:header="718" w:top="2360" w:footer="556" w:bottom="1081"/>
          <w:pgNumType w:fmt="decimal"/>
          <w:formProt w:val="false"/>
          <w:textDirection w:val="lrTb"/>
          <w:docGrid w:type="default" w:linePitch="100" w:charSpace="4294959103"/>
        </w:sectPr>
        <w:pStyle w:val="TextBody"/>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TextBody"/>
        <w:spacing w:lineRule="auto" w:line="276" w:before="280" w:after="0"/>
        <w:ind w:left="239" w:right="338" w:hanging="0"/>
        <w:jc w:val="left"/>
        <w:rPr/>
      </w:pPr>
      <w:r>
        <w:t>Verdure consigliate in base al tuo profilo genetico: sedano, finocchi, prezzemolo, spinaci, cavolo, crescione, zucca, broccoli, cicoria, carciofi, aglio, cipolla, porri, barbabietola rossa, lattuga, melanzane, cavoletti di Bruxelles, radicchio, iceberg, pomodori, verza. Queste tipologie di verdura è ricca di beta-carotene e di fibre, utile alla regolazione del controllo glicemico e all'aumento di sazietà post prandiale. Ricca anche di antiossidanti, utili alla salute del cuore e delle arterie. In linea generale è consigliato un consumo di verdura &gt; 300gr al giorno, suddiviso tra il pranzo e la cena. Una verdura cruda prima del pasto (lattuga, rucola, finocchio, sedano, cetriolo, radicchio) aiuta ad abbassare l'indice glicemico dell'intero pasto e promuove la funzionalità del fegato. Attenzione: alcune verdure come la Carota Cotta e la Zucca hanno in realtà un indice glicemico elevato, quindi, in base al tuo profilo genetico, il loro consumo è consigliato massimo 1 volta a settimana.</w:t>
      </w:r>
    </w:p>
    <w:p>
      <w:pPr>
        <w:pStyle w:val="TextBody"/>
        <w:spacing w:before="280" w:after="0"/>
        <w:ind w:left="239" w:right="338" w:hanging="0"/>
        <w:jc w:val="both"/>
        <w:rPr/>
      </w:pPr>
      <w:r>
        <w:rPr>
          <w:rFonts w:ascii="Cambria" w:hAnsi="Cambria"/>
          <w:b/>
          <w:i/>
          <w:color w:val="FF0000"/>
          <w:spacing w:val="-2"/>
          <w:sz w:val="36"/>
        </w:rPr>
        <w:t>INTEGRATORI</w:t>
      </w:r>
    </w:p>
    <w:p>
      <w:pPr>
        <w:pStyle w:val="TextBody"/>
        <w:spacing w:lineRule="auto" w:line="276" w:before="280" w:after="0"/>
        <w:ind w:left="239" w:right="338" w:hanging="0"/>
        <w:jc w:val="left"/>
        <w:rPr/>
      </w:pPr>
      <w:r>
        <w:t>Tipo: Vitamina D</w:t>
        <w:br/>
        <w:t>Dosaggio: Secondo prescrizione medica, generalmente 400-600 UI al giorno per bambini</w:t>
        <w:br/>
        <w:t>Motivazione: Predisposizione genetica alla carenza di Vitamina D e dieta vegana che limita le fonti alimentari di questa vitamina</w:t>
        <w:br/>
        <w:br/>
        <w:t>Tipo: Vitamina B12</w:t>
        <w:br/>
        <w:t>Dosaggio: Secondo prescrizione medica, generalmente 0.5-1 mcg al giorno per bambini</w:t>
        <w:br/>
        <w:t>Motivazione: Dieta vegana che esclude le principali fonti alimentari di questa vitamina</w:t>
        <w:br/>
        <w:br/>
        <w:t>Tipo: Ferro</w:t>
        <w:br/>
        <w:t>Dosaggio: Secondo prescrizione medica, basato sui livelli ematici</w:t>
        <w:br/>
        <w:t>Motivazione: Dieta vegana che può limitare l'assunzione e l'assorbimento di ferro</w:t>
        <w:br/>
        <w:br/>
        <w:t>Tipo: Calcio</w:t>
        <w:br/>
        <w:t>Dosaggio: Secondo prescrizione medica, generalmente 700-1000 mg al giorno per bambini</w:t>
        <w:br/>
        <w:t>Motivazione: Dieta vegana che esclude le principali fonti alimentari di calcio e predisposizione alla carenza di Vitamina D che può influenzare l'assorbimento del calcio</w:t>
        <w:br/>
        <w:br/>
        <w:t>Tipo: Omega-3 (da fonti vegetali come olio di alghe)</w:t>
        <w:br/>
        <w:t>Dosaggio: Secondo prescrizione medica, generalmente 100-200 mg di DHA al giorno per bambini</w:t>
        <w:br/>
        <w:t>Motivazione: Dieta vegana che esclude le principali fonti alimentari di omega-3 a catena lunga</w:t>
      </w:r>
    </w:p>
    <w:sectPr>
      <w:headerReference w:type="default" r:id="rId6"/>
      <w:footerReference w:type="default" r:id="rId7"/>
      <w:type w:val="nextPage"/>
      <w:pgSz w:w="11930" w:h="16860"/>
      <w:pgMar w:left="500" w:right="420" w:gutter="0" w:header="718" w:top="2360" w:footer="556" w:bottom="1081"/>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roman"/>
    <w:pitch w:val="default"/>
  </w:font>
  <w:font w:name="Times New Roman">
    <w:charset w:val="01"/>
    <w:family w:val="roman"/>
    <w:pitch w:val="default"/>
  </w:font>
  <w:font w:name="Arial">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7">
              <wp:simplePos x="0" y="0"/>
              <wp:positionH relativeFrom="page">
                <wp:posOffset>396240</wp:posOffset>
              </wp:positionH>
              <wp:positionV relativeFrom="page">
                <wp:posOffset>10169525</wp:posOffset>
              </wp:positionV>
              <wp:extent cx="6758940" cy="267970"/>
              <wp:effectExtent l="0" t="1270" r="635" b="0"/>
              <wp:wrapNone/>
              <wp:docPr id="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8">
              <wp:simplePos x="0" y="0"/>
              <wp:positionH relativeFrom="page">
                <wp:posOffset>467360</wp:posOffset>
              </wp:positionH>
              <wp:positionV relativeFrom="page">
                <wp:posOffset>10213975</wp:posOffset>
              </wp:positionV>
              <wp:extent cx="3241675" cy="143510"/>
              <wp:effectExtent l="0" t="0" r="0" b="0"/>
              <wp:wrapNone/>
              <wp:docPr id="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0">
              <wp:simplePos x="0" y="0"/>
              <wp:positionH relativeFrom="page">
                <wp:posOffset>6515100</wp:posOffset>
              </wp:positionH>
              <wp:positionV relativeFrom="page">
                <wp:posOffset>10243820</wp:posOffset>
              </wp:positionV>
              <wp:extent cx="160020" cy="165735"/>
              <wp:effectExtent l="0" t="0" r="0" b="0"/>
              <wp:wrapNone/>
              <wp:docPr id="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4">
              <wp:simplePos x="0" y="0"/>
              <wp:positionH relativeFrom="page">
                <wp:posOffset>396240</wp:posOffset>
              </wp:positionH>
              <wp:positionV relativeFrom="page">
                <wp:posOffset>10169525</wp:posOffset>
              </wp:positionV>
              <wp:extent cx="6758940" cy="267970"/>
              <wp:effectExtent l="0" t="1270" r="635" b="0"/>
              <wp:wrapNone/>
              <wp:docPr id="6"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2">
              <wp:simplePos x="0" y="0"/>
              <wp:positionH relativeFrom="page">
                <wp:posOffset>467360</wp:posOffset>
              </wp:positionH>
              <wp:positionV relativeFrom="page">
                <wp:posOffset>10213975</wp:posOffset>
              </wp:positionV>
              <wp:extent cx="3241675" cy="143510"/>
              <wp:effectExtent l="0" t="0" r="0" b="0"/>
              <wp:wrapNone/>
              <wp:docPr id="7"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4">
              <wp:simplePos x="0" y="0"/>
              <wp:positionH relativeFrom="page">
                <wp:posOffset>6515100</wp:posOffset>
              </wp:positionH>
              <wp:positionV relativeFrom="page">
                <wp:posOffset>10243820</wp:posOffset>
              </wp:positionV>
              <wp:extent cx="160020" cy="165735"/>
              <wp:effectExtent l="0" t="0" r="0" b="0"/>
              <wp:wrapNone/>
              <wp:docPr id="9"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5</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5</w:t>
                    </w:r>
                    <w:r>
                      <w:rPr>
                        <w:sz w:val="22"/>
                        <w:spacing w:val="-10"/>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2">
              <wp:simplePos x="0" y="0"/>
              <wp:positionH relativeFrom="page">
                <wp:posOffset>396240</wp:posOffset>
              </wp:positionH>
              <wp:positionV relativeFrom="page">
                <wp:posOffset>10169525</wp:posOffset>
              </wp:positionV>
              <wp:extent cx="6758940" cy="267970"/>
              <wp:effectExtent l="0" t="1270" r="635" b="0"/>
              <wp:wrapNone/>
              <wp:docPr id="1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8">
              <wp:simplePos x="0" y="0"/>
              <wp:positionH relativeFrom="page">
                <wp:posOffset>467360</wp:posOffset>
              </wp:positionH>
              <wp:positionV relativeFrom="page">
                <wp:posOffset>10213975</wp:posOffset>
              </wp:positionV>
              <wp:extent cx="3241675" cy="143510"/>
              <wp:effectExtent l="0" t="0" r="0" b="0"/>
              <wp:wrapNone/>
              <wp:docPr id="1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0">
              <wp:simplePos x="0" y="0"/>
              <wp:positionH relativeFrom="page">
                <wp:posOffset>6515100</wp:posOffset>
              </wp:positionH>
              <wp:positionV relativeFrom="page">
                <wp:posOffset>10243820</wp:posOffset>
              </wp:positionV>
              <wp:extent cx="160020" cy="165735"/>
              <wp:effectExtent l="0" t="0" r="0" b="0"/>
              <wp:wrapNone/>
              <wp:docPr id="1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8136"/>
                <wp:docPr id="1" name="Picture 1"/>
                <wp:cNvGraphicFramePr>
                  <a:graphicFrameLocks noChangeAspect="1"/>
                </wp:cNvGraphicFramePr>
                <a:graphic>
                  <a:graphicData uri="http://schemas.openxmlformats.org/drawingml/2006/picture">
                    <pic:pic>
                      <pic:nvPicPr>
                        <pic:cNvPr id="0" name="logo_Ageing.png"/>
                        <pic:cNvPicPr/>
                      </pic:nvPicPr>
                      <pic:blipFill>
                        <a:blip r:embed="rId1"/>
                        <a:stretch>
                          <a:fillRect/>
                        </a:stretch>
                      </pic:blipFill>
                      <pic:spPr>
                        <a:xfrm>
                          <a:off x="0" y="0"/>
                          <a:ext cx="1088136" cy="108813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8136"/>
                <wp:docPr id="1" name="Picture 1"/>
                <wp:cNvGraphicFramePr>
                  <a:graphicFrameLocks noChangeAspect="1"/>
                </wp:cNvGraphicFramePr>
                <a:graphic>
                  <a:graphicData uri="http://schemas.openxmlformats.org/drawingml/2006/picture">
                    <pic:pic>
                      <pic:nvPicPr>
                        <pic:cNvPr id="0" name="logo_Ageing.png"/>
                        <pic:cNvPicPr/>
                      </pic:nvPicPr>
                      <pic:blipFill>
                        <a:blip r:embed="rId1"/>
                        <a:stretch>
                          <a:fillRect/>
                        </a:stretch>
                      </pic:blipFill>
                      <pic:spPr>
                        <a:xfrm>
                          <a:off x="0" y="0"/>
                          <a:ext cx="1088136" cy="108813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8136"/>
                <wp:docPr id="1" name="Picture 1"/>
                <wp:cNvGraphicFramePr>
                  <a:graphicFrameLocks noChangeAspect="1"/>
                </wp:cNvGraphicFramePr>
                <a:graphic>
                  <a:graphicData uri="http://schemas.openxmlformats.org/drawingml/2006/picture">
                    <pic:pic>
                      <pic:nvPicPr>
                        <pic:cNvPr id="0" name="logo_Ageing.png"/>
                        <pic:cNvPicPr/>
                      </pic:nvPicPr>
                      <pic:blipFill>
                        <a:blip r:embed="rId1"/>
                        <a:stretch>
                          <a:fillRect/>
                        </a:stretch>
                      </pic:blipFill>
                      <pic:spPr>
                        <a:xfrm>
                          <a:off x="0" y="0"/>
                          <a:ext cx="1088136" cy="108813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6"/>
      <w:szCs w:val="22"/>
      <w:lang w:val="it-IT" w:eastAsia="en-US" w:bidi="ar-SA"/>
    </w:rPr>
  </w:style>
  <w:style w:type="paragraph" w:styleId="Heading1">
    <w:name w:val="Heading 1"/>
    <w:basedOn w:val="Normal"/>
    <w:uiPriority w:val="1"/>
    <w:qFormat/>
    <w:pPr>
      <w:spacing w:before="264" w:after="0"/>
      <w:ind w:left="615" w:right="0" w:hanging="0"/>
      <w:outlineLvl w:val="1"/>
    </w:pPr>
    <w:rPr>
      <w:rFonts w:ascii="Calibri" w:hAnsi="Calibri" w:eastAsia="Calibri" w:cs="Calibri"/>
      <w:b/>
      <w:bCs/>
      <w:sz w:val="32"/>
      <w:szCs w:val="32"/>
      <w:lang w:val="it-IT"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uiPriority w:val="1"/>
    <w:qFormat/>
    <w:pPr/>
    <w:rPr>
      <w:rFonts w:ascii="Calibri" w:hAnsi="Calibri" w:eastAsia="Calibri" w:cs="Calibri"/>
      <w:sz w:val="20"/>
      <w:szCs w:val="20"/>
      <w:lang w:val="it-IT" w:eastAsia="en-US" w:bidi="ar-SA"/>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pPr/>
    <w:rPr>
      <w:lang w:val="it-IT" w:eastAsia="en-US" w:bidi="ar-SA"/>
    </w:rPr>
  </w:style>
  <w:style w:type="paragraph" w:styleId="TableParagraph">
    <w:name w:val="Table Paragraph"/>
    <w:basedOn w:val="Normal"/>
    <w:uiPriority w:val="1"/>
    <w:qFormat/>
    <w:pPr/>
    <w:rPr>
      <w:rFonts w:ascii="Calibri" w:hAnsi="Calibri" w:eastAsia="Calibri" w:cs="Calibri"/>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Application>LibreOffice/7.3.7.2$Linux_X86_64 LibreOffice_project/30$Build-2</Application>
  <AppVersion>15.0000</AppVersion>
  <Pages>6</Pages>
  <Words>421</Words>
  <Characters>2652</Characters>
  <CharactersWithSpaces>2984</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2024-07-11T14:36:06Z</dcterms:created>
  <dc:creator>Alessandra</dc:creator>
  <dc:description/>
  <dc:language>en-US</dc:language>
  <cp:lastModifiedBy/>
  <dcterms:modified xsi:type="dcterms:W3CDTF">2024-09-03T14:07:35Z</dcterms:modified>
  <cp:revision>35</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2023-01-31T00:00:00Z</vt:filetime>
  </property>
  <property fmtid="{D5CDD505-2E9C-101B-9397-08002B2CF9AE}" pid="3" name="Creator">
    <vt:lpwstr>Microsoft® Word per Microsoft 365</vt:lpwstr>
  </property>
  <property fmtid="{D5CDD505-2E9C-101B-9397-08002B2CF9AE}" pid="4" name="LastSaved">
    <vt:filetime>2024-07-11T00:00:00Z</vt:filetime>
  </property>
  <property fmtid="{D5CDD505-2E9C-101B-9397-08002B2CF9AE}" pid="5" name="Producer">
    <vt:lpwstr>Microsoft® Word per Microsoft 365</vt:lpwstr>
  </property>
</Properties>
</file>