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mc:AlternateContent>
          <mc:Choice Requires="wps">
            <w:drawing>
              <wp:anchor behindDoc="0" distT="635" distB="635" distL="1270" distR="0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hanging="0" w:left="3509" w:right="3329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E32C56"/>
          <w:spacing w:val="-1"/>
          <w:sz w:val="36"/>
        </w:rPr>
        <w:t>Genessere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hanging="0" w:left="108"/>
        <w:rPr>
          <w:rFonts w:ascii="Arial" w:hAnsi="Arial"/>
          <w:b/>
          <w:spacing w:val="-1"/>
          <w:sz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Verdi Giulio</w:t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3"/>
        <w:gridCol w:w="3237"/>
        <w:gridCol w:w="3610"/>
      </w:tblGrid>
      <w:tr>
        <w:trPr>
          <w:trHeight w:val="787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12345678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30/09/2024 12:50:16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09/06/1989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130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170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44.98 (Obesità III grado)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b/>
          <w:bCs/>
          <w:sz w:val="15"/>
          <w:szCs w:val="15"/>
          <w:lang w:val="it-IT"/>
        </w:rPr>
      </w:pPr>
      <w:r>
        <w:rPr>
          <w:rFonts w:eastAsia="Arial" w:cs="Arial" w:ascii="Arial" w:hAnsi="Arial"/>
          <w:b/>
          <w:bCs/>
          <w:sz w:val="15"/>
          <w:szCs w:val="15"/>
          <w:lang w:val="it-IT"/>
        </w:rPr>
      </w:r>
    </w:p>
    <w:p>
      <w:pPr>
        <w:pStyle w:val="Normal"/>
        <w:spacing w:before="72" w:after="0"/>
        <w:ind w:hanging="0" w:left="1709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NON EVIDENTE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AD UN LENTO METABOLISMO DELL'ALCOOL, AD UNA  SENSIBILITA' AL FRUTTOSIO, ALL'INTOLLERANZA AL LATTOSIO E AD UNA ELEVATA  SENSIBILITA' ALLA CAFFEINA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ALLA CARENZA DI FERRO, AD ELEVATI LIVELLI DI FERRO (LIEVE), ALLA CARENZA DI ACIDO FOLICO E ALLA CARENZA DI VITAMINA D</w:t>
            </w:r>
          </w:p>
        </w:tc>
      </w:tr>
    </w:tbl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390"/>
        <w:rPr>
          <w:rFonts w:cs="Arial"/>
        </w:rPr>
      </w:pPr>
      <w:r>
        <w:rPr>
          <w:position w:val="20"/>
        </w:rPr>
        <w:tab/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6070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 w:ascii="Arial" w:hAnsi="Arial"/>
          <w:sz w:val="27"/>
          <w:szCs w:val="27"/>
        </w:rPr>
      </w:r>
    </w:p>
    <w:p>
      <w:pPr>
        <w:pStyle w:val="Heading2"/>
        <w:spacing w:lineRule="auto" w:line="276" w:before="56" w:after="0"/>
        <w:ind w:hanging="0" w:left="108" w:right="168"/>
        <w:rPr>
          <w:rFonts w:ascii="Arial" w:hAnsi="Arial" w:cs="Arial"/>
          <w:b w:val="false"/>
          <w:bCs w:val="false"/>
          <w:sz w:val="20"/>
          <w:szCs w:val="20"/>
          <w:lang w:val="it-IT"/>
        </w:rPr>
      </w:pPr>
      <w:r>
        <w:rPr>
          <w:rFonts w:cs="Arial" w:ascii="Arial" w:hAnsi="Arial"/>
          <w:sz w:val="20"/>
          <w:szCs w:val="20"/>
          <w:u w:val="single" w:color="000000"/>
          <w:lang w:val="it-IT"/>
        </w:rPr>
        <w:t>N.B.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La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sintesi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sopra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riportata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non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è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una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(le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cliniche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spettano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esclusivamente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al</w:t>
      </w:r>
      <w:r>
        <w:rPr>
          <w:rFonts w:cs="Arial" w:ascii="Arial" w:hAnsi="Arial"/>
          <w:spacing w:val="40"/>
          <w:sz w:val="20"/>
          <w:szCs w:val="2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Normal"/>
        <w:spacing w:before="69" w:after="0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F49D16"/>
          <w:spacing w:val="-1"/>
          <w:sz w:val="24"/>
          <w:lang w:val="it-IT"/>
        </w:rPr>
        <w:t>PREDISPOSIZIONE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GENETICA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ALL'AUMENTO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DI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  <w:bookmarkStart w:id="0" w:name="_Hlk83979477"/>
            <w:bookmarkEnd w:id="0"/>
          </w:p>
        </w:tc>
      </w:tr>
    </w:tbl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" w:name="_Hlk83979518"/>
            <w:bookmarkStart w:id="2" w:name="_Hlk83979518"/>
            <w:bookmarkEnd w:id="2"/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hanging="0" w:right="119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lineRule="auto" w:line="288"/>
        <w:ind w:hanging="0" w:right="119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3" w:name="_Hlk83979565"/>
            <w:bookmarkEnd w:id="3"/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4" w:name="_Hlk83979627"/>
            <w:bookmarkStart w:id="5" w:name="_Hlk83979627"/>
            <w:bookmarkEnd w:id="5"/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patologie</w:t>
      </w:r>
      <w:r>
        <w:rPr>
          <w:b/>
          <w:color w:val="F49D16"/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0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6" w:name="_Hlk83979719"/>
            <w:bookmarkEnd w:id="6"/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255"/>
        <w:gridCol w:w="3877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36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7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5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7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7" w:name="_Hlk83979744"/>
            <w:bookmarkStart w:id="8" w:name="_Hlk83979744"/>
            <w:bookmarkEnd w:id="8"/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528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611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85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0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1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1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1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bookmarkStart w:id="9" w:name="_Hlk83979830"/>
      <w:r>
        <w:rPr>
          <w:b w:val="false"/>
          <w:bCs w:val="false"/>
          <w:spacing w:val="-8"/>
          <w:lang w:val="it-IT"/>
        </w:rPr>
        <w:t>PREDISPOSIZIONE GENETICA AD UN LENTO METABOLISMO DELL'ALCOOL, AD UNA  SENSIBILITA' AL FRUTTOSIO, ALL'INTOLLERANZA AL LATTOSIO E AD UNA ELEVATA  SENSIBILITA' ALLA CAFFEINA.</w:t>
      </w:r>
      <w:bookmarkEnd w:id="9"/>
    </w:p>
    <w:p>
      <w:pPr>
        <w:pStyle w:val="Heading3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3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  <w:bookmarkStart w:id="10" w:name="_Hlk83979809"/>
      <w:bookmarkStart w:id="11" w:name="_Hlk83979809"/>
      <w:bookmarkEnd w:id="11"/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WT/WT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7"/>
        <w:gridCol w:w="2427"/>
        <w:gridCol w:w="2349"/>
        <w:gridCol w:w="1347"/>
        <w:gridCol w:w="2430"/>
      </w:tblGrid>
      <w:tr>
        <w:trPr>
          <w:trHeight w:val="454" w:hRule="atLeast"/>
        </w:trPr>
        <w:tc>
          <w:tcPr>
            <w:tcW w:w="179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7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4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4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30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11" w:after="0"/>
        <w:ind w:hanging="0" w:left="0"/>
        <w:jc w:val="both"/>
        <w:rPr>
          <w:rFonts w:ascii="Arial" w:hAnsi="Arial" w:eastAsia="Arial" w:cs="Arial"/>
          <w:b w:val="false"/>
          <w:bCs w:val="false"/>
          <w:sz w:val="19"/>
          <w:szCs w:val="19"/>
          <w:lang w:val="it-IT"/>
        </w:rPr>
      </w:pPr>
      <w:r>
        <w:rPr>
          <w:rFonts w:eastAsia="Arial" w:cs="Arial" w:ascii="Arial" w:hAnsi="Arial"/>
          <w:b w:val="false"/>
          <w:bCs w:val="false"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  <w:bookmarkStart w:id="12" w:name="_Hlk83979922"/>
      <w:bookmarkEnd w:id="12"/>
    </w:p>
    <w:p>
      <w:pPr>
        <w:pStyle w:val="Normal"/>
        <w:spacing w:lineRule="auto" w:line="276" w:before="69" w:after="0"/>
        <w:ind w:hanging="142" w:left="2514" w:right="2432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spacing w:before="2" w:after="0"/>
        <w:ind w:hanging="0" w:left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11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color w:val="008080"/>
          <w:spacing w:val="-1"/>
          <w:lang w:val="it-IT"/>
        </w:rPr>
        <w:t xml:space="preserve"> </w:t>
      </w:r>
      <w:bookmarkStart w:id="13" w:name="_Hlk83979936"/>
      <w:r>
        <w:rPr>
          <w:rFonts w:cs="Arial"/>
          <w:b w:val="false"/>
          <w:bCs w:val="false"/>
          <w:lang w:val="it-IT"/>
        </w:rPr>
        <w:t>PREDISPOSIZIONE GENETICA ALLA CARENZA DI FERRO, AD ELEVATI LIVELLI DI FERRO (LIEVE), ALLA CARENZA DI ACIDO FOLICO E ALLA CARENZA DI VITAMINA D. Si consiglia di controllare i valori di Ferritina, Transferrina e Sideremia, i valori di Ferritina, Transferrina e Sideremia, i valori di Acido folico ed Omocisteina, e i valori di Vitamina D.</w:t>
      </w:r>
      <w:bookmarkEnd w:id="13"/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0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6"/>
        <w:gridCol w:w="1357"/>
        <w:gridCol w:w="2176"/>
        <w:gridCol w:w="1350"/>
        <w:gridCol w:w="3093"/>
      </w:tblGrid>
      <w:tr>
        <w:trPr>
          <w:trHeight w:val="454" w:hRule="atLeast"/>
        </w:trPr>
        <w:tc>
          <w:tcPr>
            <w:tcW w:w="242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88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093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42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5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7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09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4" w:name="_Hlk83979968"/>
            <w:bookmarkStart w:id="15" w:name="_Hlk83979968"/>
            <w:bookmarkEnd w:id="15"/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FUT2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B12</w:t>
            </w:r>
          </w:p>
        </w:tc>
      </w:tr>
    </w:tbl>
    <w:p>
      <w:pPr>
        <w:pStyle w:val="Normal"/>
        <w:spacing w:before="10" w:after="0"/>
        <w:rPr>
          <w:rFonts w:ascii="Arial" w:hAnsi="Arial" w:eastAsia="Arial" w:cs="Arial"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</w:p>
    <w:p>
      <w:pPr>
        <w:pStyle w:val="Normal"/>
        <w:spacing w:before="10" w:after="0"/>
        <w:rPr>
          <w:rFonts w:ascii="Arial" w:hAnsi="Arial" w:eastAsia="Arial" w:cs="Arial"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</w:p>
    <w:tbl>
      <w:tblPr>
        <w:tblStyle w:val="Grigliatabella"/>
        <w:tblW w:w="10342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425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39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1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10" w:after="0"/>
        <w:rPr>
          <w:rFonts w:ascii="Arial" w:hAnsi="Arial" w:eastAsia="Arial" w:cs="Arial"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BodyText"/>
        <w:spacing w:lineRule="auto" w:line="271" w:before="74" w:after="0"/>
        <w:ind w:hanging="0" w:left="108" w:right="11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3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14"/>
          <w:szCs w:val="14"/>
          <w:lang w:val="it-IT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</w:r>
    </w:p>
    <w:p>
      <w:pPr>
        <w:pStyle w:val="Normal"/>
        <w:spacing w:before="80" w:after="0"/>
        <w:ind w:hanging="0" w:left="108"/>
        <w:rPr>
          <w:sz w:val="16"/>
          <w:szCs w:val="16"/>
        </w:rPr>
      </w:pPr>
      <w:r>
        <w:rPr>
          <w:rFonts w:ascii="Arial" w:hAnsi="Arial"/>
          <w:b/>
          <w:i/>
          <w:spacing w:val="-1"/>
          <w:sz w:val="16"/>
          <w:szCs w:val="16"/>
          <w:lang w:val="it-IT"/>
        </w:rPr>
        <w:t>Bibliografia</w:t>
      </w:r>
    </w:p>
    <w:p>
      <w:pPr>
        <w:pStyle w:val="Normal"/>
        <w:spacing w:before="10" w:after="0"/>
        <w:rPr>
          <w:rFonts w:ascii="Arial" w:hAnsi="Arial" w:eastAsia="Arial" w:cs="Arial"/>
          <w:b/>
          <w:bCs/>
          <w:i/>
          <w:i/>
          <w:sz w:val="16"/>
          <w:szCs w:val="16"/>
          <w:lang w:val="it-IT"/>
        </w:rPr>
      </w:pPr>
      <w:r>
        <w:rPr>
          <w:rFonts w:eastAsia="Arial" w:cs="Arial" w:ascii="Arial" w:hAnsi="Arial"/>
          <w:b/>
          <w:bCs/>
          <w:i/>
          <w:sz w:val="16"/>
          <w:szCs w:val="16"/>
          <w:lang w:val="it-IT"/>
        </w:rPr>
      </w:r>
    </w:p>
    <w:p>
      <w:pPr>
        <w:pStyle w:val="Normal"/>
        <w:spacing w:lineRule="auto" w:line="240"/>
        <w:ind w:hanging="0" w:left="108" w:right="112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  <w:lang w:val="en-NZ"/>
        </w:rPr>
        <w:t>Liù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CC,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Liu </w:t>
      </w:r>
      <w:r>
        <w:rPr>
          <w:rFonts w:eastAsia="Arial" w:cs="Arial" w:ascii="Arial" w:hAnsi="Arial"/>
          <w:sz w:val="16"/>
          <w:szCs w:val="16"/>
          <w:lang w:val="en-NZ"/>
        </w:rPr>
        <w:t>CC,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Kanekiyo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T,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Xu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H,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Bu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G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(February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2013).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14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Apolipoprotein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E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Alzheimer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disease: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risk,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mechanisms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therapy</w:t>
      </w:r>
      <w:r>
        <w:rPr>
          <w:rFonts w:eastAsia="Arial" w:cs="Arial" w:ascii="Arial" w:hAnsi="Arial"/>
          <w:i/>
          <w:spacing w:val="1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>.</w:t>
      </w:r>
      <w:r>
        <w:rPr>
          <w:rFonts w:eastAsia="Arial" w:cs="Arial" w:ascii="Arial" w:hAnsi="Arial"/>
          <w:i/>
          <w:spacing w:val="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Nature</w:t>
      </w:r>
      <w:r>
        <w:rPr>
          <w:rFonts w:eastAsia="Arial" w:cs="Arial" w:ascii="Arial" w:hAnsi="Arial"/>
          <w:spacing w:val="9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Reviews.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Neurology.9(2):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68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Simona Chita,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Anca Tudor, Ruxandra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Christodorescu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</w:t>
      </w:r>
      <w:r>
        <w:rPr>
          <w:rFonts w:ascii="Arial" w:hAnsi="Arial"/>
          <w:spacing w:val="4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Prevalence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 Risk Factors</w:t>
      </w:r>
      <w:r>
        <w:rPr>
          <w:rFonts w:ascii="Arial" w:hAnsi="Arial"/>
          <w:i/>
          <w:spacing w:val="88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Involved</w:t>
      </w:r>
      <w:r>
        <w:rPr>
          <w:rFonts w:ascii="Arial" w:hAnsi="Arial"/>
          <w:i/>
          <w:sz w:val="16"/>
          <w:szCs w:val="16"/>
        </w:rPr>
        <w:t xml:space="preserve"> in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Cardioembolic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Stroke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Severity.</w:t>
      </w:r>
      <w:r>
        <w:rPr>
          <w:rFonts w:ascii="Arial" w:hAnsi="Arial"/>
          <w:i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Brain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Sci. 2020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 10(8): 476.</w:t>
      </w:r>
    </w:p>
    <w:p>
      <w:pPr>
        <w:pStyle w:val="Normal"/>
        <w:spacing w:lineRule="auto" w:line="240" w:before="7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257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</w:rPr>
        <w:t>A.Georgopoulos,</w:t>
      </w:r>
      <w:r>
        <w:rPr>
          <w:rFonts w:eastAsia="Arial" w:cs="Arial" w:ascii="Arial" w:hAnsi="Arial"/>
          <w:sz w:val="16"/>
          <w:szCs w:val="16"/>
        </w:rPr>
        <w:t xml:space="preserve"> H. </w:t>
      </w:r>
      <w:r>
        <w:rPr>
          <w:rFonts w:eastAsia="Arial" w:cs="Arial" w:ascii="Arial" w:hAnsi="Arial"/>
          <w:spacing w:val="-1"/>
          <w:sz w:val="16"/>
          <w:szCs w:val="16"/>
        </w:rPr>
        <w:t>Bloomfield,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D.</w:t>
      </w:r>
      <w:r>
        <w:rPr>
          <w:rFonts w:eastAsia="Arial" w:cs="Arial" w:ascii="Arial" w:hAnsi="Arial"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Collins</w:t>
      </w:r>
      <w:r>
        <w:rPr>
          <w:rFonts w:eastAsia="Arial" w:cs="Arial" w:ascii="Arial" w:hAnsi="Arial"/>
          <w:sz w:val="16"/>
          <w:szCs w:val="16"/>
        </w:rPr>
        <w:t xml:space="preserve"> et </w:t>
      </w:r>
      <w:r>
        <w:rPr>
          <w:rFonts w:eastAsia="Arial" w:cs="Arial" w:ascii="Arial" w:hAnsi="Arial"/>
          <w:spacing w:val="-1"/>
          <w:sz w:val="16"/>
          <w:szCs w:val="16"/>
        </w:rPr>
        <w:t>al.,</w:t>
      </w:r>
      <w:r>
        <w:rPr>
          <w:rFonts w:eastAsia="Arial" w:cs="Arial" w:ascii="Arial" w:hAnsi="Arial"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“Codon</w:t>
      </w:r>
      <w:r>
        <w:rPr>
          <w:rFonts w:eastAsia="Arial" w:cs="Arial" w:ascii="Arial" w:hAnsi="Arial"/>
          <w:i/>
          <w:sz w:val="16"/>
          <w:szCs w:val="16"/>
        </w:rPr>
        <w:t xml:space="preserve"> 54 </w:t>
      </w:r>
      <w:r>
        <w:rPr>
          <w:rFonts w:eastAsia="Arial" w:cs="Arial" w:ascii="Arial" w:hAnsi="Arial"/>
          <w:i/>
          <w:spacing w:val="-1"/>
          <w:sz w:val="16"/>
          <w:szCs w:val="16"/>
        </w:rPr>
        <w:t>polymorphism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fatty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acid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binding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protein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(FABP)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2 </w:t>
      </w:r>
      <w:r>
        <w:rPr>
          <w:rFonts w:eastAsia="Arial" w:cs="Arial" w:ascii="Arial" w:hAnsi="Arial"/>
          <w:i/>
          <w:spacing w:val="-1"/>
          <w:sz w:val="16"/>
          <w:szCs w:val="16"/>
        </w:rPr>
        <w:t>gene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associated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with</w:t>
      </w:r>
      <w:r>
        <w:rPr>
          <w:rFonts w:eastAsia="Arial" w:cs="Arial" w:ascii="Arial" w:hAnsi="Arial"/>
          <w:i/>
          <w:spacing w:val="99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increased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cardiovascular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dyslipidemic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diabetic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participants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Veterans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Affairs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HDL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intervention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trial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(VA-HIT),”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Atherosclerosis,</w:t>
      </w:r>
      <w:r>
        <w:rPr>
          <w:rFonts w:eastAsia="Arial" w:cs="Arial" w:ascii="Arial" w:hAnsi="Arial"/>
          <w:spacing w:val="123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vol. 194,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no. 1,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pp. 169–174, 2007.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257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Chun-Jian Qiu </w:t>
      </w:r>
      <w:r>
        <w:rPr>
          <w:rFonts w:ascii="Arial" w:hAnsi="Arial"/>
          <w:sz w:val="16"/>
          <w:szCs w:val="16"/>
        </w:rPr>
        <w:t>,</w:t>
      </w:r>
      <w:r>
        <w:rPr>
          <w:rFonts w:ascii="Arial" w:hAnsi="Arial"/>
          <w:spacing w:val="-1"/>
          <w:sz w:val="16"/>
          <w:szCs w:val="16"/>
        </w:rPr>
        <w:t xml:space="preserve"> Xiao-Zheng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Ye, Xiao-Juan Yu, Xiao-Ren Peng, Tong-Huan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Li.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Association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between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FABP2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Ala54Thr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pacing w:val="100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2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mellitus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HuGE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Meta-Analysis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Cell Mol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Med. 2014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Dec;18(12):2530-5.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68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Dayana Rodrigues Farias,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Nadya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Helena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Alves-Santos,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Ilana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Eshriqui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Leptin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 polymorphism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(rs7799039; G2548A)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is associated with</w:t>
      </w:r>
      <w:r>
        <w:rPr>
          <w:rFonts w:ascii="Arial" w:hAnsi="Arial"/>
          <w:i/>
          <w:spacing w:val="13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changes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serum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lipid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concentrations during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pregnancy: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prospective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cohort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Eur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Nutr. 2020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68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Crider et al. (2011).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677C-&gt;T genotype is 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folate 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homocysteine</w:t>
      </w:r>
      <w:r>
        <w:rPr>
          <w:rFonts w:ascii="Arial" w:hAnsi="Arial"/>
          <w:i/>
          <w:sz w:val="16"/>
          <w:szCs w:val="16"/>
        </w:rPr>
        <w:t xml:space="preserve"> concentrations</w:t>
      </w:r>
      <w:r>
        <w:rPr>
          <w:rFonts w:ascii="Arial" w:hAnsi="Arial"/>
          <w:i/>
          <w:spacing w:val="-1"/>
          <w:sz w:val="16"/>
          <w:szCs w:val="16"/>
        </w:rPr>
        <w:t xml:space="preserve"> in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large,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population-based, double-</w:t>
      </w:r>
      <w:r>
        <w:rPr>
          <w:rFonts w:ascii="Arial" w:hAnsi="Arial"/>
          <w:i/>
          <w:spacing w:val="60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blind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trial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folic acid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supplementation.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Am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Clin Nutr. 93(6):1365-1372.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68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Chibo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Liu </w:t>
      </w:r>
      <w:r>
        <w:rPr>
          <w:rFonts w:ascii="Arial" w:hAnsi="Arial"/>
          <w:sz w:val="16"/>
          <w:szCs w:val="16"/>
        </w:rPr>
        <w:t xml:space="preserve">, </w:t>
      </w:r>
      <w:r>
        <w:rPr>
          <w:rFonts w:ascii="Arial" w:hAnsi="Arial"/>
          <w:spacing w:val="-1"/>
          <w:sz w:val="16"/>
          <w:szCs w:val="16"/>
        </w:rPr>
        <w:t>Sihua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Mou,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Chunqin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Pan.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FTO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rs9939609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predicts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disease: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systematic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56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meta-analysis.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PLoS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One. 2013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 19;8(8):e71901.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257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Warodomwichit et al. (2009).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ADIPOQ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polymorphisms,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monounsaturated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fatty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acids,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obesity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GOLDN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Obesity 17(3): 510-</w:t>
      </w:r>
      <w:r>
        <w:rPr>
          <w:rFonts w:ascii="Arial" w:hAnsi="Arial"/>
          <w:spacing w:val="10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517</w:t>
      </w:r>
    </w:p>
    <w:p>
      <w:pPr>
        <w:pStyle w:val="Normal"/>
        <w:spacing w:lineRule="auto" w:line="240" w:before="2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596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Hivert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(2008).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Common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variants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(ADIPOQ)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plasma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levels,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2 </w:t>
      </w:r>
      <w:r>
        <w:rPr>
          <w:rFonts w:ascii="Arial" w:hAnsi="Arial"/>
          <w:i/>
          <w:spacing w:val="-1"/>
          <w:sz w:val="16"/>
          <w:szCs w:val="16"/>
        </w:rPr>
        <w:t>diabetes,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07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diabetes-related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quantitative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traits: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Framingham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Offspring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Diabetes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57(12):</w:t>
      </w:r>
      <w:r>
        <w:rPr>
          <w:rFonts w:ascii="Arial" w:hAnsi="Arial"/>
          <w:spacing w:val="-4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3353-3359</w:t>
      </w:r>
    </w:p>
    <w:p>
      <w:pPr>
        <w:pStyle w:val="Normal"/>
        <w:spacing w:lineRule="auto" w:line="240"/>
        <w:ind w:hanging="0" w:left="108" w:right="596"/>
        <w:rPr>
          <w:rFonts w:ascii="Arial" w:hAnsi="Arial"/>
          <w:spacing w:val="-1"/>
        </w:rPr>
      </w:pPr>
      <w:r>
        <w:rPr>
          <w:rFonts w:ascii="Arial" w:hAnsi="Arial"/>
          <w:spacing w:val="-1"/>
        </w:rPr>
      </w:r>
    </w:p>
    <w:p>
      <w:pPr>
        <w:pStyle w:val="Normal"/>
        <w:spacing w:lineRule="auto" w:line="240" w:before="20" w:after="0"/>
        <w:ind w:hanging="0" w:left="108" w:right="62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Mahley RW.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Apolipoprotein </w:t>
      </w:r>
      <w:r>
        <w:rPr>
          <w:rFonts w:ascii="Arial" w:hAnsi="Arial"/>
          <w:i/>
          <w:color w:val="202020"/>
          <w:sz w:val="16"/>
          <w:szCs w:val="16"/>
        </w:rPr>
        <w:t>E: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from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cardiovascular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disease </w:t>
      </w:r>
      <w:r>
        <w:rPr>
          <w:rFonts w:ascii="Arial" w:hAnsi="Arial"/>
          <w:i/>
          <w:color w:val="202020"/>
          <w:sz w:val="16"/>
          <w:szCs w:val="16"/>
        </w:rPr>
        <w:t>to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neurodegenerative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disorders.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J</w:t>
      </w:r>
      <w:r>
        <w:rPr>
          <w:rFonts w:ascii="Arial" w:hAnsi="Arial"/>
          <w:color w:val="202020"/>
          <w:spacing w:val="-1"/>
          <w:sz w:val="16"/>
          <w:szCs w:val="16"/>
        </w:rPr>
        <w:t xml:space="preserve"> Mol Med (Berl). 2016 Jul;94(7):739-46. </w:t>
      </w:r>
    </w:p>
    <w:p>
      <w:pPr>
        <w:pStyle w:val="Normal"/>
        <w:spacing w:lineRule="auto" w:line="240" w:before="20" w:after="0"/>
        <w:ind w:hanging="0" w:left="108" w:right="620"/>
        <w:rPr>
          <w:rFonts w:ascii="Arial" w:hAnsi="Arial"/>
          <w:color w:val="202020"/>
          <w:spacing w:val="-1"/>
        </w:rPr>
      </w:pPr>
      <w:r>
        <w:rPr>
          <w:rFonts w:ascii="Arial" w:hAnsi="Arial"/>
          <w:color w:val="202020"/>
          <w:spacing w:val="-1"/>
        </w:rPr>
      </w:r>
    </w:p>
    <w:p>
      <w:pPr>
        <w:pStyle w:val="Normal"/>
        <w:spacing w:lineRule="auto" w:line="240" w:before="20" w:after="0"/>
        <w:ind w:hanging="0" w:left="108" w:right="62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Iwai</w:t>
      </w:r>
      <w:r>
        <w:rPr>
          <w:rFonts w:ascii="Arial" w:hAnsi="Arial"/>
          <w:color w:val="202020"/>
          <w:spacing w:val="102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C,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Akita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Kanazawa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K, </w:t>
      </w:r>
      <w:r>
        <w:rPr>
          <w:rFonts w:ascii="Arial" w:hAnsi="Arial"/>
          <w:color w:val="202020"/>
          <w:spacing w:val="-1"/>
          <w:sz w:val="16"/>
          <w:szCs w:val="16"/>
        </w:rPr>
        <w:t>Shiga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N, </w:t>
      </w:r>
      <w:r>
        <w:rPr>
          <w:rFonts w:ascii="Arial" w:hAnsi="Arial"/>
          <w:color w:val="202020"/>
          <w:spacing w:val="-1"/>
          <w:sz w:val="16"/>
          <w:szCs w:val="16"/>
        </w:rPr>
        <w:t>Terashima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Matsuda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Takai</w:t>
      </w:r>
      <w:r>
        <w:rPr>
          <w:rFonts w:ascii="Arial" w:hAnsi="Arial"/>
          <w:color w:val="202020"/>
          <w:sz w:val="16"/>
          <w:szCs w:val="16"/>
        </w:rPr>
        <w:t xml:space="preserve"> E, </w:t>
      </w:r>
      <w:r>
        <w:rPr>
          <w:rFonts w:ascii="Arial" w:hAnsi="Arial"/>
          <w:color w:val="202020"/>
          <w:spacing w:val="-1"/>
          <w:sz w:val="16"/>
          <w:szCs w:val="16"/>
        </w:rPr>
        <w:t>Miyamoto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Shimizu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Kajiya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Hayashi</w:t>
      </w:r>
      <w:r>
        <w:rPr>
          <w:rFonts w:ascii="Arial" w:hAnsi="Arial"/>
          <w:color w:val="202020"/>
          <w:sz w:val="16"/>
          <w:szCs w:val="16"/>
        </w:rPr>
        <w:t xml:space="preserve"> 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Yokoyama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M.</w:t>
      </w:r>
    </w:p>
    <w:p>
      <w:pPr>
        <w:pStyle w:val="Normal"/>
        <w:spacing w:lineRule="auto" w:line="240"/>
        <w:ind w:hanging="0" w:left="108"/>
        <w:rPr>
          <w:sz w:val="16"/>
          <w:szCs w:val="16"/>
        </w:rPr>
      </w:pPr>
      <w:r>
        <w:rPr>
          <w:rFonts w:ascii="Arial" w:hAnsi="Arial"/>
          <w:i/>
          <w:color w:val="202020"/>
          <w:spacing w:val="-1"/>
          <w:sz w:val="16"/>
          <w:szCs w:val="16"/>
        </w:rPr>
        <w:t>Arg389Gly polymorphism</w:t>
      </w:r>
      <w:r>
        <w:rPr>
          <w:rFonts w:ascii="Arial" w:hAnsi="Arial"/>
          <w:i/>
          <w:color w:val="202020"/>
          <w:sz w:val="16"/>
          <w:szCs w:val="16"/>
        </w:rPr>
        <w:t xml:space="preserve"> of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the human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beta1-adrenergic receptor</w:t>
      </w:r>
      <w:r>
        <w:rPr>
          <w:rFonts w:ascii="Arial" w:hAnsi="Arial"/>
          <w:i/>
          <w:color w:val="202020"/>
          <w:sz w:val="16"/>
          <w:szCs w:val="16"/>
        </w:rPr>
        <w:t xml:space="preserve"> in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patients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with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nonfatal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acute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myocardial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infarction.</w:t>
      </w:r>
      <w:r>
        <w:rPr>
          <w:rFonts w:ascii="Arial" w:hAnsi="Arial"/>
          <w:i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Am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Heart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J.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2003</w:t>
      </w:r>
    </w:p>
    <w:p>
      <w:pPr>
        <w:pStyle w:val="Normal"/>
        <w:spacing w:lineRule="auto" w:line="240" w:before="29" w:after="0"/>
        <w:ind w:hanging="0" w:left="108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Jul;146(1):106-9.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12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Willer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(2009).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Six new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loci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mass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index highlight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neuronal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influence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 weight regulation.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Genet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41(1):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25-</w:t>
      </w:r>
      <w:r>
        <w:rPr>
          <w:rFonts w:ascii="Arial" w:hAnsi="Arial"/>
          <w:spacing w:val="121"/>
          <w:sz w:val="16"/>
          <w:szCs w:val="16"/>
        </w:rPr>
        <w:t xml:space="preserve"> </w:t>
      </w:r>
      <w:r>
        <w:rPr>
          <w:rFonts w:ascii="Arial" w:hAnsi="Arial"/>
          <w:spacing w:val="-4"/>
          <w:sz w:val="16"/>
          <w:szCs w:val="16"/>
        </w:rPr>
        <w:t>34</w:t>
      </w:r>
    </w:p>
    <w:p>
      <w:pPr>
        <w:pStyle w:val="Normal"/>
        <w:spacing w:lineRule="auto" w:line="276"/>
        <w:ind w:hanging="0" w:left="108" w:right="112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76"/>
        <w:ind w:hanging="0" w:left="108" w:right="112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5"/>
        <w:gridCol w:w="2207"/>
        <w:gridCol w:w="1847"/>
        <w:gridCol w:w="2318"/>
        <w:gridCol w:w="2512"/>
      </w:tblGrid>
      <w:tr>
        <w:trPr>
          <w:trHeight w:val="1262" w:hRule="exact"/>
        </w:trPr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7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16" w:name="_Hlk83980272"/>
            <w:bookmarkEnd w:id="16"/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51" w:footer="388" w:bottom="932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  <w:comment w:id="1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Verdi Giulio - Referto emesso il 30/09/2024 12:50:16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331720" cy="96352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genesser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1720" cy="963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0" w:after="0"/>
      <w:ind w:hanging="0" w:left="108"/>
      <w:outlineLvl w:val="1"/>
    </w:pPr>
    <w:rPr>
      <w:rFonts w:ascii="Calibri" w:hAnsi="Calibri" w:eastAsia="Calibri"/>
      <w:b/>
      <w:bCs/>
    </w:rPr>
  </w:style>
  <w:style w:type="paragraph" w:styleId="Heading3">
    <w:name w:val="Heading 3"/>
    <w:basedOn w:val="Normal"/>
    <w:uiPriority w:val="9"/>
    <w:unhideWhenUsed/>
    <w:qFormat/>
    <w:pPr>
      <w:ind w:hanging="0" w:left="108"/>
      <w:outlineLvl w:val="2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217c8c"/>
    <w:rPr/>
  </w:style>
  <w:style w:type="character" w:styleId="PidipaginaCarattere" w:customStyle="1">
    <w:name w:val="Piè di pagina Carattere"/>
    <w:basedOn w:val="DefaultParagraphFont"/>
    <w:uiPriority w:val="99"/>
    <w:qFormat/>
    <w:rsid w:val="00217c8c"/>
    <w:rPr/>
  </w:style>
  <w:style w:type="character" w:styleId="PlaceholderText">
    <w:name w:val="Placeholder Text"/>
    <w:basedOn w:val="DefaultParagraphFont"/>
    <w:uiPriority w:val="99"/>
    <w:semiHidden/>
    <w:qFormat/>
    <w:rsid w:val="00f474bf"/>
    <w:rPr>
      <w:color w:val="80808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405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Application>LibreOffice/24.2.5.2$Linux_X86_64 LibreOffice_project/420$Build-2</Application>
  <AppVersion>15.0000</AppVersion>
  <Pages>7</Pages>
  <Words>1188</Words>
  <Characters>7329</Characters>
  <CharactersWithSpaces>8391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2021-09-15T14:13:00Z</dcterms:created>
  <dc:creator/>
  <dc:description/>
  <dc:language>en-US</dc:language>
  <cp:lastModifiedBy/>
  <dcterms:modified xsi:type="dcterms:W3CDTF">2024-09-30T09:30:01Z</dcterms:modified>
  <cp:revision>85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2021-09-15T00:00:00Z</vt:filetime>
  </property>
  <property fmtid="{D5CDD505-2E9C-101B-9397-08002B2CF9AE}" pid="3" name="LastSaved">
    <vt:filetime>2021-09-15T00:00:00Z</vt:filetime>
  </property>
</Properties>
</file>