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200"/>
        <w:ind w:left="125" w:hanging="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mc:AlternateContent>
          <mc:Choice Requires="wps">
            <w:drawing>
              <wp:anchor behindDoc="0" distT="1270" distB="0" distL="635" distR="635" simplePos="0" locked="0" layoutInCell="0" allowOverlap="1" relativeHeight="2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0820" cy="116205"/>
                <wp:effectExtent l="635" t="1270" r="635" b="0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000" cy="116280"/>
                        </a:xfrm>
                        <a:prstGeom prst="rect">
                          <a:avLst/>
                        </a:prstGeom>
                        <a:solidFill>
                          <a:srgbClr val="3ba1da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3ba1da" stroked="t" o:allowincell="f" style="position:absolute;margin-left:2.4pt;margin-top:4.05pt;width:516.55pt;height:9.1pt;mso-wrap-style:none;v-text-anchor:middle">
                <v:fill o:detectmouseclick="t" type="solid" color2="#c45e25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widowControl w:val="false"/>
        <w:suppressAutoHyphens w:val="true"/>
        <w:bidi w:val="0"/>
        <w:spacing w:before="27" w:after="0"/>
        <w:ind w:left="0" w:right="0" w:hanging="0"/>
        <w:jc w:val="center"/>
        <w:rPr>
          <w:rFonts w:ascii="Calibri" w:hAnsi="Calibri" w:eastAsia="Calibri" w:cs="Calibri"/>
          <w:sz w:val="36"/>
          <w:szCs w:val="36"/>
        </w:rPr>
      </w:pPr>
      <w:r>
        <w:rPr>
          <w:b/>
          <w:color w:val="3BA1DA"/>
          <w:spacing w:val="-1"/>
          <w:sz w:val="36"/>
        </w:rPr>
        <w:t>test_title</w:t>
        <w:br/>
      </w:r>
    </w:p>
    <w:p>
      <w:pPr>
        <w:pStyle w:val="Normal"/>
        <w:spacing w:lineRule="atLeast" w:line="190"/>
        <w:ind w:left="124" w:hanging="0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1270" distB="0" distL="635" distR="635" simplePos="0" locked="0" layoutInCell="0" allowOverlap="1" relativeHeight="3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0820" cy="116205"/>
                <wp:effectExtent l="635" t="1270" r="635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000" cy="116280"/>
                        </a:xfrm>
                        <a:prstGeom prst="rect">
                          <a:avLst/>
                        </a:prstGeom>
                        <a:solidFill>
                          <a:srgbClr val="3ba1da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3ba1da" stroked="t" o:allowincell="f" style="position:absolute;margin-left:2.4pt;margin-top:4.05pt;width:516.55pt;height:9.1pt;mso-wrap-style:none;v-text-anchor:middle">
                <v:fill o:detectmouseclick="t" type="solid" color2="#c45e25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tLeast" w:line="190"/>
        <w:ind w:left="124" w:hanging="0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</w:r>
    </w:p>
    <w:p>
      <w:pPr>
        <w:pStyle w:val="Normal"/>
        <w:spacing w:lineRule="exact" w:line="349"/>
        <w:ind w:left="108" w:hanging="0"/>
        <w:rPr>
          <w:rFonts w:ascii="Arial" w:hAnsi="Arial"/>
          <w:b/>
          <w:b/>
          <w:spacing w:val="-1"/>
          <w:sz w:val="32"/>
          <w:szCs w:val="24"/>
        </w:rPr>
      </w:pPr>
      <w:r>
        <w:rPr>
          <w:rFonts w:ascii="Arial" w:hAnsi="Arial"/>
          <w:b/>
          <w:spacing w:val="-1"/>
          <w:sz w:val="32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  <w:br/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238"/>
        <w:gridCol w:w="3612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238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61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0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238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61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0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238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61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before="72" w:after="0"/>
        <w:ind w:left="1682" w:hanging="0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br/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right="65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F49D16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CF50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spacing w:lineRule="atLeast" w:line="200"/>
        <w:ind w:left="124" w:hanging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CC2A58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C2A58"/>
                <w:kern w:val="0"/>
                <w:sz w:val="24"/>
                <w:szCs w:val="24"/>
                <w:lang w:val="it-IT" w:eastAsia="en-US" w:bidi="ar-SA"/>
              </w:rPr>
              <w:t>ASSORBIMENTO E METABOLISMO DI MINERALI E VITAMINE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C2A58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FFFFFF" w:themeColor="background1"/>
                <w:lang w:val="it-IT"/>
              </w:rPr>
            </w:pPr>
            <w:r>
              <w:rPr>
                <w:rFonts w:eastAsia="Arial" w:cs="Arial" w:ascii="Arial" w:hAnsi="Arial"/>
                <w:color w:val="FFFFFF" w:themeColor="background1"/>
                <w:kern w:val="0"/>
                <w:sz w:val="22"/>
                <w:szCs w:val="22"/>
                <w:lang w:val="it-IT" w:eastAsia="en-US" w:bidi="ar-SA"/>
              </w:rPr>
              <w:t>&lt;testo_assorbimento&gt;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82CBD9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82CBD9"/>
                <w:kern w:val="0"/>
                <w:sz w:val="24"/>
                <w:szCs w:val="24"/>
                <w:lang w:val="it-IT" w:eastAsia="en-US" w:bidi="ar-SA"/>
              </w:rPr>
              <w:t>ATTIVIT</w:t>
            </w:r>
            <w:r>
              <w:rPr>
                <w:rFonts w:ascii="Arial" w:hAnsi="Arial"/>
                <w:b/>
                <w:color w:val="82CBD9"/>
                <w:spacing w:val="-1"/>
                <w:kern w:val="0"/>
                <w:sz w:val="24"/>
                <w:szCs w:val="24"/>
                <w:lang w:val="en-US" w:eastAsia="en-US" w:bidi="ar-SA"/>
              </w:rPr>
              <w:t>À SPORTIVE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82CB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000000"/>
                <w:kern w:val="0"/>
                <w:sz w:val="22"/>
                <w:szCs w:val="22"/>
                <w:lang w:val="it-IT" w:eastAsia="en-US" w:bidi="ar-SA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2"/>
                <w:szCs w:val="22"/>
                <w:lang w:val="it-IT" w:eastAsia="en-US" w:bidi="ar-SA"/>
              </w:rPr>
              <w:t>&lt;testo_sport&gt;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3BA1DA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3BA1DA"/>
                <w:kern w:val="0"/>
                <w:sz w:val="24"/>
                <w:szCs w:val="24"/>
                <w:lang w:val="it-IT" w:eastAsia="en-US" w:bidi="ar-SA"/>
              </w:rPr>
              <w:t>INVECCHIAMENTO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3BA1DA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FFFFFF" w:themeColor="background1"/>
                <w:lang w:val="it-IT"/>
              </w:rPr>
            </w:pPr>
            <w:r>
              <w:rPr>
                <w:rFonts w:eastAsia="Arial" w:cs="Arial" w:ascii="Arial" w:hAnsi="Arial"/>
                <w:color w:val="FFFFFF" w:themeColor="background1"/>
                <w:kern w:val="0"/>
                <w:sz w:val="22"/>
                <w:szCs w:val="22"/>
                <w:lang w:val="it-IT" w:eastAsia="en-US" w:bidi="ar-SA"/>
              </w:rPr>
              <w:t>&lt;testo_ageing&gt;</w:t>
            </w:r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4893310</wp:posOffset>
            </wp:positionH>
            <wp:positionV relativeFrom="paragraph">
              <wp:posOffset>123190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156210</wp:posOffset>
            </wp:positionH>
            <wp:positionV relativeFrom="paragraph">
              <wp:posOffset>79375</wp:posOffset>
            </wp:positionV>
            <wp:extent cx="1431925" cy="596900"/>
            <wp:effectExtent l="0" t="0" r="0" b="0"/>
            <wp:wrapSquare wrapText="largest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/>
        <w:ind w:left="124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TextBody"/>
        <w:tabs>
          <w:tab w:val="clear" w:pos="720"/>
          <w:tab w:val="left" w:pos="5274" w:leader="none"/>
        </w:tabs>
        <w:spacing w:lineRule="atLeast" w:line="200"/>
        <w:ind w:left="108" w:hanging="0"/>
        <w:rPr/>
      </w:pPr>
      <w:r>
        <w:rPr>
          <w:position w:val="20"/>
        </w:rPr>
        <w:tab/>
      </w:r>
    </w:p>
    <w:p>
      <w:pPr>
        <w:pStyle w:val="Normal"/>
        <w:spacing w:lineRule="auto" w:line="276" w:before="12" w:after="0"/>
        <w:ind w:left="108" w:right="116" w:hanging="0"/>
        <w:rPr>
          <w:b/>
          <w:b/>
          <w:sz w:val="16"/>
          <w:szCs w:val="16"/>
          <w:u w:val="single" w:color="000000"/>
          <w:lang w:val="it-IT"/>
        </w:rPr>
      </w:pPr>
      <w:r>
        <w:rPr>
          <w:b/>
          <w:sz w:val="16"/>
          <w:szCs w:val="16"/>
          <w:u w:val="single" w:color="000000"/>
          <w:lang w:val="it-IT"/>
        </w:rPr>
      </w:r>
    </w:p>
    <w:p>
      <w:pPr>
        <w:pStyle w:val="Normal"/>
        <w:spacing w:lineRule="auto" w:line="276" w:before="12" w:after="0"/>
        <w:ind w:left="108" w:right="116" w:hanging="0"/>
        <w:rPr>
          <w:sz w:val="16"/>
          <w:szCs w:val="16"/>
        </w:rPr>
      </w:pPr>
      <w:r>
        <w:rPr>
          <w:b/>
          <w:sz w:val="16"/>
          <w:szCs w:val="16"/>
          <w:u w:val="single" w:color="000000"/>
          <w:lang w:val="it-IT"/>
        </w:rPr>
        <w:t>N.B.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z w:val="16"/>
          <w:szCs w:val="16"/>
          <w:u w:val="single" w:color="000000"/>
          <w:lang w:val="it-IT"/>
        </w:rPr>
        <w:t>La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sintesi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sopra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riportata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non</w:t>
      </w:r>
      <w:r>
        <w:rPr>
          <w:b/>
          <w:spacing w:val="44"/>
          <w:sz w:val="16"/>
          <w:szCs w:val="16"/>
          <w:u w:val="single" w:color="000000"/>
          <w:lang w:val="it-IT"/>
        </w:rPr>
        <w:t xml:space="preserve"> </w:t>
      </w:r>
      <w:r>
        <w:rPr>
          <w:b/>
          <w:sz w:val="16"/>
          <w:szCs w:val="16"/>
          <w:u w:val="single" w:color="000000"/>
          <w:lang w:val="it-IT"/>
        </w:rPr>
        <w:t>è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una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diagnosi</w:t>
      </w:r>
      <w:r>
        <w:rPr>
          <w:b/>
          <w:spacing w:val="46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clinica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(le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diagnosi</w:t>
      </w:r>
      <w:r>
        <w:rPr>
          <w:b/>
          <w:spacing w:val="44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cliniche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spettano</w:t>
      </w:r>
      <w:r>
        <w:rPr>
          <w:b/>
          <w:spacing w:val="46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esclusivamente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al</w:t>
      </w:r>
      <w:r>
        <w:rPr>
          <w:b/>
          <w:spacing w:val="40"/>
          <w:sz w:val="16"/>
          <w:szCs w:val="16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medico).</w:t>
      </w:r>
      <w:r>
        <w:br w:type="page"/>
      </w:r>
    </w:p>
    <w:p>
      <w:pPr>
        <w:pStyle w:val="Normal"/>
        <w:spacing w:before="0" w:after="0"/>
        <w:rPr>
          <w:rFonts w:ascii="Calibri" w:hAnsi="Calibri" w:eastAsia="Calibri" w:cs="Calibri"/>
          <w:b/>
          <w:b/>
          <w:bCs/>
          <w:sz w:val="18"/>
          <w:szCs w:val="18"/>
          <w:lang w:val="it-IT"/>
        </w:rPr>
      </w:pPr>
      <w:r>
        <w:rPr>
          <w:rFonts w:eastAsia="Calibri" w:cs="Calibri"/>
          <w:b/>
          <w:bCs/>
          <w:sz w:val="18"/>
          <w:szCs w:val="18"/>
          <w:lang w:val="it-IT"/>
        </w:rPr>
      </w:r>
    </w:p>
    <w:p>
      <w:pPr>
        <w:pStyle w:val="Heading1"/>
        <w:ind w:left="2000" w:hanging="0"/>
        <w:rPr>
          <w:b w:val="false"/>
          <w:b w:val="false"/>
          <w:bCs w:val="false"/>
          <w:color w:val="F79646" w:themeColor="accent6"/>
          <w:lang w:val="it-IT"/>
        </w:rPr>
      </w:pPr>
      <w:r>
        <w:rPr>
          <w:color w:val="F79646" w:themeColor="accent6"/>
          <w:spacing w:val="-1"/>
          <w:lang w:val="it-IT"/>
        </w:rPr>
        <w:t>PREDISPOSIZIONE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GENETICA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ALL'AUMENTO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DI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PESO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6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36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u w:val="single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ind w:left="2130" w:hanging="0"/>
        <w:rPr>
          <w:b w:val="false"/>
          <w:b w:val="false"/>
          <w:bCs w:val="false"/>
          <w:color w:val="F79646" w:themeColor="accent6"/>
          <w:lang w:val="it-IT"/>
        </w:rPr>
      </w:pPr>
      <w:r>
        <w:rPr/>
      </w:r>
    </w:p>
    <w:p>
      <w:pPr>
        <w:pStyle w:val="Heading1"/>
        <w:spacing w:before="0" w:after="0"/>
        <w:ind w:left="2130" w:hanging="0"/>
        <w:rPr>
          <w:b w:val="false"/>
          <w:b w:val="false"/>
          <w:bCs w:val="false"/>
          <w:color w:val="F79646" w:themeColor="accent6"/>
          <w:lang w:val="it-IT"/>
        </w:rPr>
      </w:pPr>
      <w:r>
        <w:rPr>
          <w:color w:val="F79646" w:themeColor="accent6"/>
          <w:spacing w:val="-1"/>
          <w:lang w:val="it-IT"/>
        </w:rPr>
        <w:t>PREDISPOSIZIONE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GENETICA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AL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DIABETE</w:t>
      </w:r>
      <w:r>
        <w:rPr>
          <w:color w:val="F79646" w:themeColor="accent6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DI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spacing w:val="-1"/>
          <w:lang w:val="it-IT"/>
        </w:rPr>
        <w:t>TIPO</w:t>
      </w:r>
      <w:r>
        <w:rPr>
          <w:color w:val="F79646" w:themeColor="accent6"/>
          <w:spacing w:val="1"/>
          <w:lang w:val="it-IT"/>
        </w:rPr>
        <w:t xml:space="preserve"> </w:t>
      </w:r>
      <w:r>
        <w:rPr>
          <w:color w:val="F79646" w:themeColor="accent6"/>
          <w:lang w:val="it-IT"/>
        </w:rPr>
        <w:t>2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117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7"/>
          <w:lang w:val="it-IT"/>
        </w:rPr>
        <w:t xml:space="preserve"> </w:t>
      </w:r>
      <w:r>
        <w:rPr>
          <w:lang w:val="it-IT"/>
        </w:rPr>
        <w:t>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descrive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fallimento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8"/>
          <w:lang w:val="it-IT"/>
        </w:rPr>
        <w:t xml:space="preserve"> </w:t>
      </w:r>
      <w:r>
        <w:rPr>
          <w:spacing w:val="-2"/>
          <w:lang w:val="it-IT"/>
        </w:rPr>
        <w:t>cellule</w:t>
      </w:r>
      <w:r>
        <w:rPr>
          <w:spacing w:val="76"/>
          <w:w w:val="9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reagire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l'insulina.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88"/>
        <w:ind w:right="119" w:hanging="0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6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27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</w:p>
        </w:tc>
      </w:tr>
    </w:tbl>
    <w:p>
      <w:pPr>
        <w:pStyle w:val="Normal"/>
        <w:spacing w:lineRule="atLeast" w:line="200"/>
        <w:ind w:left="125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ind w:left="1152" w:hanging="0"/>
        <w:rPr>
          <w:b w:val="false"/>
          <w:b w:val="false"/>
          <w:bCs w:val="false"/>
          <w:color w:val="F79646" w:themeColor="accent6"/>
        </w:rPr>
      </w:pPr>
      <w:r>
        <w:rPr/>
      </w:r>
    </w:p>
    <w:p>
      <w:pPr>
        <w:pStyle w:val="Heading1"/>
        <w:spacing w:before="0" w:after="0"/>
        <w:ind w:left="1152" w:hanging="0"/>
        <w:rPr>
          <w:b w:val="false"/>
          <w:b w:val="false"/>
          <w:bCs w:val="false"/>
          <w:color w:val="F79646" w:themeColor="accent6"/>
        </w:rPr>
      </w:pPr>
      <w:r>
        <w:rPr>
          <w:color w:val="F79646" w:themeColor="accent6"/>
          <w:spacing w:val="-1"/>
        </w:rPr>
        <w:t>PREDISPOSIZIONE</w:t>
      </w:r>
      <w:r>
        <w:rPr>
          <w:color w:val="F79646" w:themeColor="accent6"/>
          <w:spacing w:val="1"/>
        </w:rPr>
        <w:t xml:space="preserve"> </w:t>
      </w:r>
      <w:r>
        <w:rPr>
          <w:color w:val="F79646" w:themeColor="accent6"/>
          <w:spacing w:val="-1"/>
        </w:rPr>
        <w:t>GENETICA</w:t>
      </w:r>
      <w:r>
        <w:rPr>
          <w:color w:val="F79646" w:themeColor="accent6"/>
          <w:spacing w:val="1"/>
        </w:rPr>
        <w:t xml:space="preserve"> </w:t>
      </w:r>
      <w:r>
        <w:rPr>
          <w:color w:val="F79646" w:themeColor="accent6"/>
          <w:spacing w:val="-1"/>
        </w:rPr>
        <w:t>ALLE</w:t>
      </w:r>
      <w:r>
        <w:rPr>
          <w:color w:val="F79646" w:themeColor="accent6"/>
          <w:spacing w:val="1"/>
        </w:rPr>
        <w:t xml:space="preserve"> </w:t>
      </w:r>
      <w:r>
        <w:rPr>
          <w:color w:val="F79646" w:themeColor="accent6"/>
          <w:spacing w:val="-1"/>
        </w:rPr>
        <w:t>PATOLOGIE</w:t>
      </w:r>
      <w:r>
        <w:rPr>
          <w:color w:val="F79646" w:themeColor="accent6"/>
          <w:spacing w:val="2"/>
        </w:rPr>
        <w:t xml:space="preserve"> </w:t>
      </w:r>
      <w:r>
        <w:rPr>
          <w:color w:val="F79646" w:themeColor="accent6"/>
          <w:spacing w:val="-1"/>
        </w:rPr>
        <w:t>CARDIOVASCOLARI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TextBody"/>
        <w:spacing w:lineRule="auto" w:line="271"/>
        <w:ind w:left="0" w:right="117" w:hanging="0"/>
        <w:jc w:val="both"/>
        <w:rPr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patologie</w:t>
      </w:r>
      <w:r>
        <w:rPr>
          <w:b/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Normal"/>
        <w:spacing w:before="11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27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</w:p>
        </w:tc>
      </w:tr>
    </w:tbl>
    <w:p>
      <w:pPr>
        <w:pStyle w:val="Normal"/>
        <w:spacing w:lineRule="atLeast" w:line="200"/>
        <w:ind w:left="125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0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5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1"/>
        <w:gridCol w:w="2264"/>
        <w:gridCol w:w="3868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24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68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26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6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tbl>
      <w:tblPr>
        <w:tblStyle w:val="Grigliatabella"/>
        <w:tblW w:w="10531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19"/>
        <w:gridCol w:w="2322"/>
        <w:gridCol w:w="1621"/>
        <w:gridCol w:w="2355"/>
        <w:gridCol w:w="2614"/>
      </w:tblGrid>
      <w:tr>
        <w:trPr>
          <w:trHeight w:val="454" w:hRule="atLeast"/>
        </w:trPr>
        <w:tc>
          <w:tcPr>
            <w:tcW w:w="1619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9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19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1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Heading1"/>
        <w:spacing w:before="0" w:after="0"/>
        <w:ind w:left="2147" w:hanging="0"/>
        <w:rPr>
          <w:b w:val="false"/>
          <w:b w:val="false"/>
          <w:bCs w:val="false"/>
          <w:color w:val="92D050"/>
        </w:rPr>
      </w:pPr>
      <w:r>
        <w:rPr/>
      </w:r>
    </w:p>
    <w:p>
      <w:pPr>
        <w:pStyle w:val="Heading1"/>
        <w:spacing w:before="0" w:after="0"/>
        <w:ind w:left="2147" w:hanging="0"/>
        <w:rPr>
          <w:b w:val="false"/>
          <w:b w:val="false"/>
          <w:bCs w:val="false"/>
          <w:color w:val="92D050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4" w:after="0"/>
        <w:rPr>
          <w:rFonts w:ascii="Arial" w:hAnsi="Arial" w:eastAsia="Arial" w:cs="Arial"/>
          <w:b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rPr>
          <w:b w:val="false"/>
          <w:b w:val="false"/>
          <w:bCs w:val="false"/>
          <w:spacing w:val="-8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b w:val="false"/>
          <w:bCs w:val="false"/>
          <w:spacing w:val="-8"/>
          <w:lang w:val="it-IT"/>
        </w:rPr>
        <w:t>testo_intolleranze_lungo</w:t>
      </w:r>
    </w:p>
    <w:p>
      <w:pPr>
        <w:pStyle w:val="Heading2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Heading2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Normal"/>
        <w:rPr>
          <w:b w:val="false"/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5"/>
        <w:gridCol w:w="2427"/>
        <w:gridCol w:w="2351"/>
        <w:gridCol w:w="1345"/>
        <w:gridCol w:w="2432"/>
      </w:tblGrid>
      <w:tr>
        <w:trPr>
          <w:trHeight w:val="454" w:hRule="atLeast"/>
        </w:trPr>
        <w:tc>
          <w:tcPr>
            <w:tcW w:w="1795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b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  <w:r>
        <w:br w:type="page"/>
      </w:r>
    </w:p>
    <w:p>
      <w:pPr>
        <w:pStyle w:val="Normal"/>
        <w:spacing w:lineRule="auto" w:line="276" w:before="0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/>
      </w:r>
    </w:p>
    <w:p>
      <w:pPr>
        <w:pStyle w:val="Normal"/>
        <w:spacing w:lineRule="auto" w:line="276" w:before="0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  <w:t>INFLUENZA</w:t>
      </w:r>
      <w:r>
        <w:rPr>
          <w:rFonts w:ascii="Arial" w:hAnsi="Arial"/>
          <w:b/>
          <w:color w:val="E32C5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GENETICA NELL'ASSORBIMENTO </w:t>
        <w:br/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24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NEL METABOLISMO DI MINERALI </w:t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 VITAMINE</w:t>
      </w:r>
    </w:p>
    <w:p>
      <w:pPr>
        <w:pStyle w:val="Normal"/>
        <w:spacing w:lineRule="auto" w:line="276" w:before="69" w:after="0"/>
        <w:ind w:left="108" w:right="-30" w:hanging="0"/>
        <w:jc w:val="center"/>
        <w:rPr>
          <w:rFonts w:ascii="Arial" w:hAnsi="Arial"/>
          <w:b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TextBody"/>
        <w:spacing w:before="2" w:after="0"/>
        <w:ind w:left="0" w:hanging="0"/>
        <w:jc w:val="both"/>
        <w:rPr>
          <w:lang w:val="it-IT"/>
        </w:rPr>
      </w:pPr>
      <w:r>
        <w:rPr>
          <w:lang w:val="it-IT"/>
        </w:rPr>
        <w:t>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micronutrienti,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2"/>
          <w:lang w:val="it-IT"/>
        </w:rPr>
        <w:t>includono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vitamine</w:t>
      </w:r>
      <w:r>
        <w:rPr>
          <w:b/>
          <w:spacing w:val="-5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minerali</w:t>
      </w:r>
      <w:r>
        <w:rPr>
          <w:spacing w:val="-1"/>
          <w:lang w:val="it-IT"/>
        </w:rPr>
        <w:t>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vitali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-5"/>
          <w:lang w:val="it-IT"/>
        </w:rPr>
        <w:t xml:space="preserve"> </w:t>
      </w:r>
      <w:r>
        <w:rPr>
          <w:spacing w:val="-2"/>
          <w:lang w:val="it-IT"/>
        </w:rPr>
        <w:t>salute.</w:t>
      </w:r>
    </w:p>
    <w:p>
      <w:pPr>
        <w:pStyle w:val="Normal"/>
        <w:spacing w:before="2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essenziali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funzionamento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organismo;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migliorano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benessere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aiutano</w:t>
      </w:r>
      <w:r>
        <w:rPr>
          <w:spacing w:val="9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prevenire</w:t>
      </w:r>
      <w:r>
        <w:rPr>
          <w:spacing w:val="35"/>
          <w:w w:val="99"/>
          <w:lang w:val="it-IT"/>
        </w:rPr>
        <w:t xml:space="preserve"> </w:t>
      </w:r>
      <w:r>
        <w:rPr>
          <w:spacing w:val="-1"/>
          <w:lang w:val="it-IT"/>
        </w:rPr>
        <w:t>molte</w:t>
      </w:r>
      <w:r>
        <w:rPr>
          <w:spacing w:val="36"/>
          <w:lang w:val="it-IT"/>
        </w:rPr>
        <w:t xml:space="preserve"> </w:t>
      </w:r>
      <w:r>
        <w:rPr>
          <w:spacing w:val="-2"/>
          <w:lang w:val="it-IT"/>
        </w:rPr>
        <w:t>malattie.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fabbisogno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giornaliero</w:t>
      </w:r>
      <w:r>
        <w:rPr>
          <w:spacing w:val="35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determinato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numerosi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fattori</w:t>
      </w:r>
      <w:r>
        <w:rPr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questi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genetico.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Possiamo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ottenere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quasi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tutte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vitamine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15"/>
          <w:lang w:val="it-IT"/>
        </w:rPr>
        <w:t xml:space="preserve"> </w:t>
      </w:r>
      <w:r>
        <w:rPr>
          <w:lang w:val="it-IT"/>
        </w:rPr>
        <w:t>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minerali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cibo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normale.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Tuttavia,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essere leggermente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difficile nel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caso in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siamo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inclini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mancanza.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capitolo,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riveleremo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livelli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lang w:val="it-IT"/>
        </w:rPr>
        <w:t>B9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(acido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folico),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8"/>
          <w:lang w:val="it-IT"/>
        </w:rPr>
        <w:t xml:space="preserve"> </w:t>
      </w:r>
      <w:r>
        <w:rPr>
          <w:b/>
          <w:lang w:val="it-IT"/>
        </w:rPr>
        <w:t>D</w:t>
      </w:r>
      <w:r>
        <w:rPr>
          <w:lang w:val="it-IT"/>
        </w:rPr>
        <w:t>,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B12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minerali,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b/>
          <w:spacing w:val="-1"/>
          <w:lang w:val="it-IT"/>
        </w:rPr>
        <w:t>ferro</w:t>
      </w:r>
      <w:r>
        <w:rPr>
          <w:spacing w:val="-1"/>
          <w:lang w:val="it-IT"/>
        </w:rPr>
        <w:t>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potrebbero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influenzati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dai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tuoi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geni.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testo_assorbimento_lungo</w:t>
      </w:r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1435"/>
        <w:gridCol w:w="2179"/>
        <w:gridCol w:w="1349"/>
        <w:gridCol w:w="3107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96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107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43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7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34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10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tbl>
      <w:tblPr>
        <w:tblStyle w:val="Grigliatabella"/>
        <w:tblW w:w="10433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0"/>
        <w:gridCol w:w="1621"/>
        <w:gridCol w:w="2353"/>
        <w:gridCol w:w="2518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0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92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3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51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0"/>
        <w:rPr>
          <w:rFonts w:ascii="Arial" w:hAnsi="Arial" w:eastAsia="Arial" w:cs="Arial"/>
          <w:b/>
          <w:b/>
          <w:bCs/>
          <w:sz w:val="17"/>
          <w:szCs w:val="17"/>
        </w:rPr>
      </w:pPr>
      <w:r>
        <w:rPr>
          <w:rFonts w:eastAsia="Arial" w:cs="Arial" w:ascii="Arial" w:hAnsi="Arial"/>
          <w:b/>
          <w:bCs/>
          <w:sz w:val="17"/>
          <w:szCs w:val="17"/>
        </w:rPr>
      </w:r>
    </w:p>
    <w:p>
      <w:pPr>
        <w:pStyle w:val="Normal"/>
        <w:spacing w:before="69" w:after="0"/>
        <w:ind w:left="2618" w:hanging="0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/>
          <w:b/>
          <w:color w:val="82CBD9"/>
          <w:spacing w:val="-1"/>
          <w:sz w:val="24"/>
          <w:lang w:val="it-IT"/>
        </w:rPr>
        <w:t xml:space="preserve">SCOPRI L'ALLENAMENTO PIÙ ADATTO </w:t>
      </w:r>
      <w:r>
        <w:rPr>
          <w:rFonts w:ascii="Arial" w:hAnsi="Arial"/>
          <w:b/>
          <w:color w:val="82CBD9"/>
          <w:sz w:val="24"/>
          <w:lang w:val="it-IT"/>
        </w:rPr>
        <w:t>A</w:t>
      </w:r>
      <w:r>
        <w:rPr>
          <w:rFonts w:ascii="Arial" w:hAnsi="Arial"/>
          <w:b/>
          <w:color w:val="82CBD9"/>
          <w:spacing w:val="-1"/>
          <w:sz w:val="24"/>
          <w:lang w:val="it-IT"/>
        </w:rPr>
        <w:t xml:space="preserve"> TE</w:t>
      </w:r>
    </w:p>
    <w:p>
      <w:pPr>
        <w:pStyle w:val="Normal"/>
        <w:spacing w:before="6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117" w:hanging="0"/>
        <w:jc w:val="both"/>
        <w:rPr>
          <w:lang w:val="it-IT"/>
        </w:rPr>
      </w:pPr>
      <w:r>
        <w:rPr>
          <w:spacing w:val="-1"/>
          <w:lang w:val="it-IT"/>
        </w:rPr>
        <w:t>In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29"/>
          <w:lang w:val="it-IT"/>
        </w:rPr>
        <w:t xml:space="preserve"> </w:t>
      </w:r>
      <w:r>
        <w:rPr>
          <w:spacing w:val="-1"/>
          <w:lang w:val="it-IT"/>
        </w:rPr>
        <w:t>capitolo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29"/>
          <w:lang w:val="it-IT"/>
        </w:rPr>
        <w:t xml:space="preserve"> </w:t>
      </w:r>
      <w:r>
        <w:rPr>
          <w:spacing w:val="-1"/>
          <w:lang w:val="it-IT"/>
        </w:rPr>
        <w:t>sveleremo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attività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sportive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puoi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bravo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2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struttura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muscolare.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Imparerai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fino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punto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sei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incline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lesioni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tessuti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molli.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L'attività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fisica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influisce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generalmente</w:t>
      </w:r>
      <w:r>
        <w:rPr>
          <w:spacing w:val="20"/>
          <w:w w:val="99"/>
          <w:lang w:val="it-IT"/>
        </w:rPr>
        <w:t xml:space="preserve"> </w:t>
      </w:r>
      <w:r>
        <w:rPr>
          <w:spacing w:val="-1"/>
          <w:lang w:val="it-IT"/>
        </w:rPr>
        <w:t>positivamente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2"/>
          <w:lang w:val="it-IT"/>
        </w:rPr>
        <w:t>salute,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ma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alcune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attività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sportive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vantaggiose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alcuni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altri.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38"/>
          <w:w w:val="99"/>
          <w:lang w:val="it-IT"/>
        </w:rPr>
        <w:t xml:space="preserve"> </w:t>
      </w:r>
      <w:r>
        <w:rPr>
          <w:spacing w:val="-1"/>
          <w:lang w:val="it-IT"/>
        </w:rPr>
        <w:t>esempio, la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genetica ha una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grande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influenza su alcune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componenti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dell'atletica come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3"/>
          <w:lang w:val="it-IT"/>
        </w:rPr>
        <w:t xml:space="preserve"> </w:t>
      </w:r>
      <w:r>
        <w:rPr>
          <w:b/>
          <w:spacing w:val="-1"/>
          <w:lang w:val="it-IT"/>
        </w:rPr>
        <w:t>potenza</w:t>
      </w:r>
      <w:r>
        <w:rPr>
          <w:spacing w:val="-1"/>
          <w:lang w:val="it-IT"/>
        </w:rPr>
        <w:t>,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4"/>
          <w:lang w:val="it-IT"/>
        </w:rPr>
        <w:t xml:space="preserve"> </w:t>
      </w:r>
      <w:r>
        <w:rPr>
          <w:b/>
          <w:spacing w:val="-1"/>
          <w:lang w:val="it-IT"/>
        </w:rPr>
        <w:t>resistenza</w:t>
      </w:r>
      <w:r>
        <w:rPr>
          <w:spacing w:val="-1"/>
          <w:lang w:val="it-IT"/>
        </w:rPr>
        <w:t>,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4"/>
          <w:w w:val="99"/>
          <w:lang w:val="it-IT"/>
        </w:rPr>
        <w:t xml:space="preserve"> </w:t>
      </w:r>
      <w:r>
        <w:rPr>
          <w:spacing w:val="-2"/>
          <w:lang w:val="it-IT"/>
        </w:rPr>
        <w:t>dimensione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composizione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fibre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muscolari,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flessibilità,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coordinazione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neuromuscolare,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fenotipi.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rFonts w:cs="Arial"/>
          <w:b w:val="false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testo_sport_lungo</w:t>
      </w:r>
    </w:p>
    <w:p>
      <w:pPr>
        <w:pStyle w:val="Heading2"/>
        <w:jc w:val="both"/>
        <w:rPr>
          <w:rFonts w:cs="Arial"/>
          <w:b w:val="false"/>
          <w:b w:val="false"/>
          <w:bCs w:val="false"/>
          <w:lang w:val="it-IT"/>
        </w:rPr>
      </w:pPr>
      <w:r>
        <w:rPr>
          <w:rFonts w:cs="Arial"/>
          <w:b w:val="false"/>
          <w:bCs w:val="false"/>
          <w:lang w:val="it-IT"/>
        </w:rPr>
      </w:r>
    </w:p>
    <w:p>
      <w:pPr>
        <w:pStyle w:val="Heading2"/>
        <w:jc w:val="both"/>
        <w:rPr>
          <w:rFonts w:cs="Arial"/>
          <w:b w:val="false"/>
          <w:b w:val="false"/>
          <w:bCs w:val="false"/>
          <w:sz w:val="19"/>
          <w:szCs w:val="19"/>
          <w:lang w:val="it-IT"/>
        </w:rPr>
      </w:pPr>
      <w:r>
        <w:rPr>
          <w:rFonts w:cs="Arial"/>
          <w:b w:val="false"/>
          <w:bCs w:val="false"/>
          <w:sz w:val="19"/>
          <w:szCs w:val="19"/>
          <w:lang w:val="it-IT"/>
        </w:rPr>
      </w:r>
    </w:p>
    <w:tbl>
      <w:tblPr>
        <w:tblStyle w:val="Grigliatabella"/>
        <w:tblW w:w="104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95"/>
        <w:gridCol w:w="3164"/>
        <w:gridCol w:w="1629"/>
        <w:gridCol w:w="2425"/>
        <w:gridCol w:w="1495"/>
      </w:tblGrid>
      <w:tr>
        <w:trPr>
          <w:trHeight w:val="454" w:hRule="atLeast"/>
        </w:trPr>
        <w:tc>
          <w:tcPr>
            <w:tcW w:w="1695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3164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FENOTIPO ASSOCIATO</w:t>
            </w:r>
          </w:p>
        </w:tc>
        <w:tc>
          <w:tcPr>
            <w:tcW w:w="554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95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3164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42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49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pageBreakBefore w:val="false"/>
        <w:spacing w:before="8" w:after="0"/>
        <w:rPr>
          <w:rFonts w:ascii="Times New Roman" w:hAnsi="Times New Roman" w:eastAsia="Times New Roman" w:cs="Times New Roman"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sz w:val="20"/>
          <w:szCs w:val="20"/>
          <w:lang w:val="it-IT"/>
        </w:rPr>
      </w:r>
      <w:r>
        <w:br w:type="page"/>
      </w:r>
    </w:p>
    <w:p>
      <w:pPr>
        <w:pStyle w:val="Normal"/>
        <w:spacing w:before="0" w:after="0"/>
        <w:ind w:right="42" w:hanging="0"/>
        <w:jc w:val="center"/>
        <w:rPr>
          <w:rFonts w:ascii="Arial" w:hAnsi="Arial"/>
          <w:b/>
          <w:b/>
          <w:color w:val="3BA1DA"/>
          <w:spacing w:val="1"/>
          <w:sz w:val="24"/>
          <w:lang w:val="it-IT"/>
        </w:rPr>
      </w:pPr>
      <w:r>
        <w:rPr/>
      </w:r>
    </w:p>
    <w:p>
      <w:pPr>
        <w:pStyle w:val="Normal"/>
        <w:spacing w:before="0" w:after="0"/>
        <w:ind w:right="42" w:hanging="0"/>
        <w:jc w:val="center"/>
        <w:rPr>
          <w:rFonts w:ascii="Arial" w:hAnsi="Arial"/>
          <w:b/>
          <w:b/>
          <w:color w:val="3BA1DA"/>
          <w:spacing w:val="1"/>
          <w:sz w:val="24"/>
          <w:lang w:val="it-IT"/>
        </w:rPr>
      </w:pPr>
      <w:r>
        <w:rPr>
          <w:rFonts w:ascii="Arial" w:hAnsi="Arial"/>
          <w:b/>
          <w:color w:val="3BA1DA"/>
          <w:spacing w:val="-1"/>
          <w:sz w:val="24"/>
          <w:lang w:val="it-IT"/>
        </w:rPr>
        <w:t>L'INFLUENZA GENETICA NEI PROCESSI</w:t>
      </w:r>
      <w:r>
        <w:rPr>
          <w:rFonts w:ascii="Arial" w:hAnsi="Arial"/>
          <w:b/>
          <w:color w:val="3BA1DA"/>
          <w:spacing w:val="1"/>
          <w:sz w:val="24"/>
          <w:lang w:val="it-IT"/>
        </w:rPr>
        <w:t xml:space="preserve"> </w:t>
      </w:r>
    </w:p>
    <w:p>
      <w:pPr>
        <w:pStyle w:val="Normal"/>
        <w:spacing w:before="69" w:after="0"/>
        <w:ind w:right="42" w:hanging="0"/>
        <w:jc w:val="center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/>
          <w:b/>
          <w:color w:val="3BA1DA"/>
          <w:spacing w:val="-1"/>
          <w:sz w:val="24"/>
          <w:lang w:val="it-IT"/>
        </w:rPr>
        <w:t>CORRELATI</w:t>
      </w:r>
      <w:r>
        <w:rPr>
          <w:rFonts w:ascii="Arial" w:hAnsi="Arial"/>
          <w:b/>
          <w:color w:val="3BA1DA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3BA1DA"/>
          <w:spacing w:val="-1"/>
          <w:sz w:val="24"/>
          <w:lang w:val="it-IT"/>
        </w:rPr>
        <w:t>ALL'INVECCHIAMENTO</w:t>
      </w:r>
    </w:p>
    <w:p>
      <w:pPr>
        <w:pStyle w:val="Normal"/>
        <w:spacing w:before="2" w:after="0"/>
        <w:rPr>
          <w:rFonts w:ascii="Arial" w:hAnsi="Arial" w:eastAsia="Arial" w:cs="Arial"/>
          <w:b/>
          <w:b/>
          <w:bCs/>
          <w:sz w:val="21"/>
          <w:szCs w:val="21"/>
          <w:lang w:val="it-IT"/>
        </w:rPr>
      </w:pPr>
      <w:r>
        <w:rPr>
          <w:rFonts w:eastAsia="Arial" w:cs="Arial" w:ascii="Arial" w:hAnsi="Arial"/>
          <w:b/>
          <w:bCs/>
          <w:sz w:val="21"/>
          <w:szCs w:val="21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individuale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processo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d'invecchiamento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influenzato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dalla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presenza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sfavorevoli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40"/>
          <w:w w:val="99"/>
          <w:lang w:val="it-IT"/>
        </w:rPr>
        <w:t xml:space="preserve"> </w:t>
      </w:r>
      <w:r>
        <w:rPr>
          <w:spacing w:val="-1"/>
          <w:lang w:val="it-IT"/>
        </w:rPr>
        <w:t>determinano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quindi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alto</w:t>
      </w:r>
      <w:r>
        <w:rPr>
          <w:spacing w:val="4"/>
          <w:lang w:val="it-IT"/>
        </w:rPr>
        <w:t xml:space="preserve"> </w:t>
      </w:r>
      <w:r>
        <w:rPr>
          <w:lang w:val="it-IT"/>
        </w:rPr>
        <w:t>tasso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invecchiamento.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-9"/>
          <w:lang w:val="it-IT"/>
        </w:rPr>
        <w:t xml:space="preserve"> </w:t>
      </w:r>
      <w:r>
        <w:rPr>
          <w:spacing w:val="-2"/>
          <w:lang w:val="it-IT"/>
        </w:rPr>
        <w:t>maggiore/minore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tendenza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all'invecchiamento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sistema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biologico.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testo_ageing_lungo</w:t>
      </w:r>
    </w:p>
    <w:p>
      <w:pPr>
        <w:pStyle w:val="Normal"/>
        <w:spacing w:before="10" w:after="0"/>
        <w:rPr>
          <w:rFonts w:ascii="Arial" w:hAnsi="Arial" w:eastAsia="Arial" w:cs="Arial"/>
          <w:b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</w:p>
    <w:tbl>
      <w:tblPr>
        <w:tblStyle w:val="Grigliatabella"/>
        <w:tblW w:w="104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95"/>
        <w:gridCol w:w="3164"/>
        <w:gridCol w:w="1629"/>
        <w:gridCol w:w="2425"/>
        <w:gridCol w:w="1495"/>
      </w:tblGrid>
      <w:tr>
        <w:trPr>
          <w:trHeight w:val="454" w:hRule="atLeast"/>
        </w:trPr>
        <w:tc>
          <w:tcPr>
            <w:tcW w:w="1695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3164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FENOTIPO ASSOCIATO</w:t>
            </w:r>
          </w:p>
        </w:tc>
        <w:tc>
          <w:tcPr>
            <w:tcW w:w="554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95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3164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42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49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59" w:after="0"/>
        <w:ind w:left="108" w:hanging="0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rFonts w:eastAsia="Calibri" w:cs="Calibri"/>
          <w:sz w:val="28"/>
          <w:szCs w:val="28"/>
          <w:lang w:val="it-IT"/>
        </w:rPr>
      </w:r>
      <w:r>
        <w:br w:type="page"/>
      </w:r>
    </w:p>
    <w:p>
      <w:pPr>
        <w:pStyle w:val="Normal"/>
        <w:spacing w:before="0" w:after="0"/>
        <w:ind w:left="108" w:hanging="0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4" w:after="0"/>
        <w:rPr>
          <w:rFonts w:ascii="Calibri" w:hAnsi="Calibri" w:eastAsia="Calibri" w:cs="Calibri"/>
          <w:b/>
          <w:b/>
          <w:bCs/>
          <w:sz w:val="13"/>
          <w:szCs w:val="13"/>
          <w:lang w:val="it-IT"/>
        </w:rPr>
      </w:pPr>
      <w:r>
        <w:rPr>
          <w:rFonts w:eastAsia="Calibri" w:cs="Calibri"/>
          <w:b/>
          <w:bCs/>
          <w:sz w:val="13"/>
          <w:szCs w:val="13"/>
          <w:lang w:val="it-IT"/>
        </w:rPr>
      </w:r>
    </w:p>
    <w:p>
      <w:pPr>
        <w:pStyle w:val="TextBody"/>
        <w:spacing w:lineRule="auto" w:line="271" w:before="74" w:after="0"/>
        <w:ind w:left="108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contempla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studio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mirato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sole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variazioni</w:t>
      </w:r>
      <w:r>
        <w:rPr>
          <w:spacing w:val="42"/>
          <w:lang w:val="it-IT"/>
        </w:rPr>
        <w:t xml:space="preserve"> </w:t>
      </w:r>
      <w:r>
        <w:rPr>
          <w:spacing w:val="-2"/>
          <w:lang w:val="it-IT"/>
        </w:rPr>
        <w:t>genetiche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corresponsabilità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nell'insorgenza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7"/>
          <w:w w:val="99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complesse</w:t>
      </w:r>
      <w:r>
        <w:rPr>
          <w:spacing w:val="1"/>
          <w:lang w:val="it-IT"/>
        </w:rPr>
        <w:t xml:space="preserve"> </w:t>
      </w:r>
      <w:r>
        <w:rPr>
          <w:lang w:val="it-IT"/>
        </w:rPr>
        <w:t>(es.</w:t>
      </w:r>
      <w:r>
        <w:rPr>
          <w:spacing w:val="54"/>
          <w:lang w:val="it-IT"/>
        </w:rPr>
        <w:t xml:space="preserve"> </w:t>
      </w:r>
      <w:r>
        <w:rPr>
          <w:spacing w:val="-1"/>
          <w:lang w:val="it-IT"/>
        </w:rPr>
        <w:t>Obesità,</w:t>
      </w:r>
      <w:r>
        <w:rPr>
          <w:spacing w:val="1"/>
          <w:lang w:val="it-IT"/>
        </w:rPr>
        <w:t xml:space="preserve"> </w:t>
      </w:r>
      <w:r>
        <w:rPr>
          <w:spacing w:val="-2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55"/>
          <w:lang w:val="it-IT"/>
        </w:rPr>
        <w:t xml:space="preserve"> </w:t>
      </w:r>
      <w:r>
        <w:rPr>
          <w:spacing w:val="-1"/>
          <w:lang w:val="it-IT"/>
        </w:rPr>
        <w:t>2,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cardiovascolari)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vi</w:t>
      </w:r>
      <w:r>
        <w:rPr>
          <w:spacing w:val="5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1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sostegno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estesa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letteratura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scientifica.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rappresenta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utilissimo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strumento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ai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fini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benessere.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però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sottolineato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22"/>
          <w:lang w:val="it-IT"/>
        </w:rPr>
        <w:t xml:space="preserve"> </w:t>
      </w:r>
      <w:r>
        <w:rPr>
          <w:b/>
          <w:lang w:val="it-IT"/>
        </w:rPr>
        <w:t>rappresenta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una</w:t>
      </w:r>
      <w:r>
        <w:rPr>
          <w:b/>
          <w:spacing w:val="20"/>
          <w:lang w:val="it-IT"/>
        </w:rPr>
        <w:t xml:space="preserve"> </w:t>
      </w:r>
      <w:r>
        <w:rPr>
          <w:b/>
          <w:lang w:val="it-IT"/>
        </w:rPr>
        <w:t>diagnosi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clinica,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pertanto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sostituisce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il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parere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spacing w:val="-1"/>
          <w:lang w:val="it-IT"/>
        </w:rPr>
        <w:t>.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risultati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devono</w:t>
      </w:r>
      <w:r>
        <w:rPr>
          <w:spacing w:val="28"/>
          <w:w w:val="9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valutati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approvati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luce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storia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anamnestica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personale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su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verifica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curante</w:t>
      </w:r>
      <w:r>
        <w:rPr>
          <w:spacing w:val="-1"/>
          <w:lang w:val="it-IT"/>
        </w:rPr>
        <w:t>.</w:t>
      </w:r>
    </w:p>
    <w:p>
      <w:pPr>
        <w:pStyle w:val="TextBody"/>
        <w:jc w:val="both"/>
        <w:rPr>
          <w:lang w:val="it-IT"/>
        </w:rPr>
      </w:pPr>
      <w:r>
        <w:rPr>
          <w:spacing w:val="-1"/>
          <w:lang w:val="it-IT"/>
        </w:rPr>
        <w:t>N.B.L'elenco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individuati.</w:t>
      </w:r>
    </w:p>
    <w:p>
      <w:pPr>
        <w:pStyle w:val="Normal"/>
        <w:spacing w:before="5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2"/>
        <w:jc w:val="both"/>
        <w:rPr>
          <w:b w:val="false"/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2" w:after="0"/>
        <w:rPr>
          <w:rFonts w:ascii="Arial" w:hAnsi="Arial" w:eastAsia="Arial" w:cs="Arial"/>
          <w:b/>
          <w:b/>
          <w:bCs/>
          <w:sz w:val="13"/>
          <w:szCs w:val="13"/>
          <w:lang w:val="it-IT"/>
        </w:rPr>
      </w:pPr>
      <w:r>
        <w:rPr>
          <w:rFonts w:eastAsia="Arial" w:cs="Arial" w:ascii="Arial" w:hAnsi="Arial"/>
          <w:b/>
          <w:bCs/>
          <w:sz w:val="13"/>
          <w:szCs w:val="13"/>
          <w:lang w:val="it-IT"/>
        </w:rPr>
      </w:r>
    </w:p>
    <w:p>
      <w:pPr>
        <w:pStyle w:val="Normal"/>
        <w:spacing w:before="80" w:after="0"/>
        <w:ind w:left="108" w:hanging="0"/>
        <w:rPr>
          <w:rFonts w:ascii="Times New Roman" w:hAnsi="Times New Roman" w:eastAsia="Times New Roman" w:cs="Times New Roman"/>
          <w:sz w:val="16"/>
          <w:szCs w:val="16"/>
          <w:lang w:val="it-IT"/>
        </w:rPr>
      </w:pPr>
      <w:r>
        <w:rPr>
          <w:rFonts w:ascii="Times New Roman" w:hAnsi="Times New Roman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lineRule="auto" w:line="276" w:before="1" w:after="0"/>
        <w:rPr>
          <w:rFonts w:ascii="Times New Roman" w:hAnsi="Times New Roman" w:eastAsia="Times New Roman" w:cs="Times New Roman"/>
          <w:b/>
          <w:b/>
          <w:bCs/>
          <w:i/>
          <w:i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b/>
          <w:bCs/>
          <w:i/>
          <w:sz w:val="20"/>
          <w:szCs w:val="20"/>
          <w:lang w:val="it-IT"/>
        </w:rPr>
      </w:r>
    </w:p>
    <w:p>
      <w:pPr>
        <w:pStyle w:val="Normal"/>
        <w:spacing w:lineRule="auto" w:line="240"/>
        <w:ind w:left="108" w:right="423" w:hanging="0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4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58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/>
        <w:ind w:left="108" w:right="423" w:hanging="0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 xml:space="preserve"> </w:t>
      </w:r>
    </w:p>
    <w:p>
      <w:pPr>
        <w:pStyle w:val="Normal"/>
        <w:spacing w:lineRule="auto" w:line="240" w:before="46" w:after="0"/>
        <w:ind w:left="108" w:right="270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Dana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Simona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Chita,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2"/>
          <w:sz w:val="16"/>
          <w:szCs w:val="16"/>
        </w:rPr>
        <w:t>Anca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Tudor,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Ruxandra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Christodorescu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al </w:t>
      </w:r>
      <w:r>
        <w:rPr>
          <w:rFonts w:ascii="Times New Roman" w:hAnsi="Times New Roman"/>
          <w:i/>
          <w:spacing w:val="-1"/>
          <w:sz w:val="16"/>
          <w:szCs w:val="16"/>
        </w:rPr>
        <w:t>MTHFR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Prevalence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Factors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Involved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8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Cardioembolic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Stroke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Severity. </w:t>
      </w:r>
      <w:r>
        <w:rPr>
          <w:rFonts w:ascii="Times New Roman" w:hAnsi="Times New Roman"/>
          <w:spacing w:val="-1"/>
          <w:sz w:val="16"/>
          <w:szCs w:val="16"/>
        </w:rPr>
        <w:t>Brain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Sci.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2020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Aug;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10(8):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476.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A.Georgopoulos,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-2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Chun-Jian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Qiu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,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Xiao-Zheng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Ye,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Xiao-Juan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Yu,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Xiao-Ren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Peng,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Tong-Huan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Li.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Association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between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FABP2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Ala54Thr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2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</w:t>
      </w:r>
      <w:r>
        <w:rPr>
          <w:rFonts w:ascii="Times New Roman" w:hAnsi="Times New Roman"/>
          <w:i/>
          <w:spacing w:val="4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mellitus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risk: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HuGE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Review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Meta-Analysis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Cell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Mol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Med.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2014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2"/>
          <w:sz w:val="16"/>
          <w:szCs w:val="16"/>
        </w:rPr>
        <w:t>Dec;18(12):2530-5.</w:t>
      </w:r>
    </w:p>
    <w:p>
      <w:pPr>
        <w:pStyle w:val="Normal"/>
        <w:spacing w:lineRule="auto" w:line="240" w:before="7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Dayana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Rodrigues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Farias,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Nadya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Helena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Alves-Santos,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Ilana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Eshriqui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Leptin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(rs7799039;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G2548A)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changes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6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serum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lipid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concentrations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during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pregnancy: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prospective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cohort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study.</w:t>
      </w:r>
      <w:r>
        <w:rPr>
          <w:rFonts w:ascii="Times New Roman" w:hAnsi="Times New Roman"/>
          <w:i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Eur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Nutr.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2020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Aug;59(5):1999-2009.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270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Crider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(2011).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MTHFR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677C-&gt;T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genotype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folate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homocysteine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concentrations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large,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population-based,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double-blind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trial</w:t>
      </w:r>
      <w:r>
        <w:rPr>
          <w:rFonts w:ascii="Times New Roman" w:hAnsi="Times New Roman"/>
          <w:i/>
          <w:spacing w:val="3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folic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acid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supplementation.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Am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Clin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Nutr.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93(6):1365-1372.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Chibo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Liu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,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Sihua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Mou,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Chunqin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FTO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rs9939609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predicts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disease: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systematic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review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meta-</w:t>
      </w:r>
      <w:r>
        <w:rPr>
          <w:rFonts w:ascii="Times New Roman" w:hAnsi="Times New Roman"/>
          <w:i/>
          <w:spacing w:val="4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analysis.</w:t>
      </w:r>
      <w:r>
        <w:rPr>
          <w:rFonts w:ascii="Times New Roman" w:hAnsi="Times New Roman"/>
          <w:i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PLoS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One.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2013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Aug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19;8(8):e71901.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Warodomwichit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ADIPOQ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polymorphisms,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monounsaturated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fatty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acids,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obesity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risk: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GOLDN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study. </w:t>
      </w:r>
      <w:r>
        <w:rPr>
          <w:rFonts w:ascii="Times New Roman" w:hAnsi="Times New Roman"/>
          <w:spacing w:val="-1"/>
          <w:sz w:val="16"/>
          <w:szCs w:val="16"/>
        </w:rPr>
        <w:t>Obesity</w:t>
      </w:r>
      <w:r>
        <w:rPr>
          <w:rFonts w:ascii="Times New Roman" w:hAnsi="Times New Roman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17(3):</w:t>
      </w:r>
      <w:r>
        <w:rPr>
          <w:rFonts w:ascii="Times New Roman" w:hAnsi="Times New Roman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510-517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Hivert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(2008). </w:t>
      </w:r>
      <w:r>
        <w:rPr>
          <w:rFonts w:ascii="Times New Roman" w:hAnsi="Times New Roman"/>
          <w:i/>
          <w:spacing w:val="-1"/>
          <w:sz w:val="16"/>
          <w:szCs w:val="16"/>
        </w:rPr>
        <w:t>Common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variants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adiponectin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(ADIPOQ)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plasma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adiponectin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levels,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2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diabetes-related</w:t>
      </w:r>
      <w:r>
        <w:rPr>
          <w:rFonts w:ascii="Times New Roman" w:hAnsi="Times New Roman"/>
          <w:i/>
          <w:spacing w:val="7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quantitative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traits: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Framingham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Offspring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Study.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Diabetes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57(12):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3353-3359</w:t>
      </w:r>
    </w:p>
    <w:p>
      <w:pPr>
        <w:pStyle w:val="Normal"/>
        <w:spacing w:lineRule="auto" w:line="240" w:before="3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hanging="0"/>
        <w:rPr>
          <w:sz w:val="16"/>
          <w:szCs w:val="16"/>
        </w:rPr>
      </w:pPr>
      <w:r>
        <w:rPr>
          <w:rFonts w:ascii="Times New Roman" w:hAnsi="Times New Roman"/>
          <w:color w:val="202020"/>
          <w:spacing w:val="-1"/>
          <w:sz w:val="16"/>
          <w:szCs w:val="16"/>
        </w:rPr>
        <w:t>Mahley</w:t>
      </w:r>
      <w:r>
        <w:rPr>
          <w:rFonts w:ascii="Times New Roman" w:hAnsi="Times New Roman"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RW.</w:t>
      </w:r>
      <w:r>
        <w:rPr>
          <w:rFonts w:ascii="Times New Roman" w:hAnsi="Times New Roman"/>
          <w:color w:val="202020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Apolipoprotein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E: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disease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disorders.</w:t>
      </w:r>
      <w:r>
        <w:rPr>
          <w:rFonts w:ascii="Times New Roman" w:hAnsi="Times New Roman"/>
          <w:i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J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Mol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Med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(Berl).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2016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Jul;94(7):739-46.</w:t>
      </w:r>
    </w:p>
    <w:p>
      <w:pPr>
        <w:pStyle w:val="Normal"/>
        <w:spacing w:lineRule="auto" w:line="240" w:before="10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color w:val="202020"/>
          <w:spacing w:val="-1"/>
          <w:sz w:val="16"/>
          <w:szCs w:val="16"/>
        </w:rPr>
        <w:t>Iwai</w:t>
      </w:r>
      <w:r>
        <w:rPr>
          <w:rFonts w:ascii="Times New Roman" w:hAnsi="Times New Roman"/>
          <w:color w:val="202020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C,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Akita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Kanazawa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K,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Shiga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N,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Terashima</w:t>
      </w:r>
      <w:r>
        <w:rPr>
          <w:rFonts w:ascii="Times New Roman" w:hAnsi="Times New Roman"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M,</w:t>
      </w:r>
      <w:r>
        <w:rPr>
          <w:rFonts w:ascii="Times New Roman" w:hAnsi="Times New Roman"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Matsuda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Y,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Takai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E,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Y,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Shimizu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Kajiya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Hayashi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T,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Yokoyama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M.</w:t>
      </w:r>
      <w:r>
        <w:rPr>
          <w:rFonts w:ascii="Times New Roman" w:hAnsi="Times New Roman"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Arg389Gly</w:t>
      </w:r>
      <w:r>
        <w:rPr>
          <w:rFonts w:ascii="Times New Roman" w:hAnsi="Times New Roman"/>
          <w:i/>
          <w:color w:val="202020"/>
          <w:spacing w:val="91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Am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Heart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J.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2003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  <w:szCs w:val="16"/>
        </w:rPr>
        <w:t>Jul;146(1):106-9.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171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Willer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Six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new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loci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body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mass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index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highlight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neuronal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influence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body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weight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regulation.</w:t>
      </w:r>
      <w:r>
        <w:rPr>
          <w:rFonts w:ascii="Times New Roman" w:hAnsi="Times New Roman"/>
          <w:i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Nat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Genet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41(1):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25-34</w:t>
      </w:r>
      <w:r>
        <w:rPr>
          <w:rFonts w:ascii="Times New Roman" w:hAnsi="Times New Roman"/>
          <w:spacing w:val="50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Benyamin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Variants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HFE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explain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approximately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40%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genetic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variation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serum-transferrin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levels.</w:t>
      </w:r>
      <w:r>
        <w:rPr>
          <w:rFonts w:ascii="Times New Roman" w:hAnsi="Times New Roman"/>
          <w:i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Am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Hum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Genet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84(1):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60-65</w:t>
      </w:r>
    </w:p>
    <w:p>
      <w:pPr>
        <w:pStyle w:val="Normal"/>
        <w:spacing w:lineRule="auto" w:line="240" w:before="42" w:after="0"/>
        <w:ind w:left="108" w:right="270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 xml:space="preserve"> </w:t>
      </w:r>
    </w:p>
    <w:p>
      <w:pPr>
        <w:pStyle w:val="Normal"/>
        <w:spacing w:lineRule="auto" w:line="240" w:before="42" w:after="0"/>
        <w:ind w:left="108" w:right="270" w:hanging="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Keen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(1999).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Association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collagen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(COL1A1)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locus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reduced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bone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mineral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density,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increased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fracture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increased</w:t>
      </w:r>
      <w:r>
        <w:rPr>
          <w:rFonts w:ascii="Times New Roman" w:hAnsi="Times New Roman"/>
          <w:i/>
          <w:spacing w:val="11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collagen</w:t>
      </w:r>
      <w:r>
        <w:rPr>
          <w:rFonts w:ascii="Times New Roman" w:hAnsi="Times New Roman"/>
          <w:i/>
          <w:spacing w:val="11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turnover.</w:t>
      </w:r>
      <w:r>
        <w:rPr>
          <w:rFonts w:ascii="Times New Roman" w:hAnsi="Times New Roman"/>
          <w:i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Arthritis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Rheum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42(2):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285-290</w:t>
      </w:r>
    </w:p>
    <w:p>
      <w:pPr>
        <w:pStyle w:val="Normal"/>
        <w:spacing w:before="7" w:after="0"/>
        <w:rPr>
          <w:rFonts w:ascii="Times New Roman" w:hAnsi="Times New Roman" w:eastAsia="Times New Roman" w:cs="Times New Roman"/>
          <w:sz w:val="14"/>
          <w:szCs w:val="14"/>
        </w:rPr>
      </w:pPr>
      <w:r>
        <w:rPr>
          <w:rFonts w:eastAsia="Times New Roman" w:cs="Times New Roman" w:ascii="Times New Roman" w:hAnsi="Times New Roman"/>
          <w:sz w:val="14"/>
          <w:szCs w:val="14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2"/>
        <w:gridCol w:w="2209"/>
        <w:gridCol w:w="1848"/>
        <w:gridCol w:w="2318"/>
        <w:gridCol w:w="2512"/>
      </w:tblGrid>
      <w:tr>
        <w:trPr>
          <w:trHeight w:val="1349" w:hRule="exact"/>
        </w:trPr>
        <w:tc>
          <w:tcPr>
            <w:tcW w:w="12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ind w:left="32" w:hanging="0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09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left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8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both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left="33" w:right="592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left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</w:tr>
    </w:tbl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8" w:footer="207" w:bottom="40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Arial">
    <w:charset w:val="01"/>
    <w:family w:val="roman"/>
    <w:pitch w:val="default"/>
  </w:font>
  <w:font w:name="Cambria"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arial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9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9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7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N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08" w:hanging="0"/>
      <w:outlineLvl w:val="1"/>
    </w:pPr>
    <w:rPr>
      <w:rFonts w:ascii="Arial" w:hAnsi="Arial" w:eastAsia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6f7d9e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3Carattere" w:customStyle="1">
    <w:name w:val="Titolo 3 Carattere"/>
    <w:basedOn w:val="DefaultParagraphFont"/>
    <w:uiPriority w:val="9"/>
    <w:semiHidden/>
    <w:qFormat/>
    <w:rsid w:val="006f7d9e"/>
    <w:rPr>
      <w:rFonts w:ascii="Cambria" w:hAnsi="Cambria" w:eastAsia="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IntestazioneCarattere" w:customStyle="1">
    <w:name w:val="Intestazione Carattere"/>
    <w:basedOn w:val="DefaultParagraphFont"/>
    <w:uiPriority w:val="99"/>
    <w:qFormat/>
    <w:rsid w:val="00603722"/>
    <w:rPr/>
  </w:style>
  <w:style w:type="character" w:styleId="PidipaginaCarattere" w:customStyle="1">
    <w:name w:val="Piè di pagina Carattere"/>
    <w:basedOn w:val="DefaultParagraphFont"/>
    <w:uiPriority w:val="99"/>
    <w:qFormat/>
    <w:rsid w:val="00603722"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uiPriority w:val="1"/>
    <w:qFormat/>
    <w:pPr>
      <w:ind w:left="108" w:hanging="0"/>
    </w:pPr>
    <w:rPr>
      <w:rFonts w:ascii="Arial" w:hAnsi="Arial" w:eastAsia="Arial"/>
      <w:sz w:val="20"/>
      <w:szCs w:val="20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c22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Application>LibreOffice/7.3.7.2$Linux_X86_64 LibreOffice_project/30$Build-2</Application>
  <AppVersion>15.0000</AppVersion>
  <Pages>9</Pages>
  <Words>1404</Words>
  <Characters>8738</Characters>
  <CharactersWithSpaces>9998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2021-09-29T12:14:00Z</dcterms:created>
  <dc:creator>Alessandra</dc:creator>
  <dc:description/>
  <dc:language>en-US</dc:language>
  <cp:lastModifiedBy/>
  <dcterms:modified xsi:type="dcterms:W3CDTF">2024-10-25T09:39:49Z</dcterms:modified>
  <cp:revision>27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2021-09-29T00:00:00Z</vt:filetime>
  </property>
  <property fmtid="{D5CDD505-2E9C-101B-9397-08002B2CF9AE}" pid="3" name="LastSaved">
    <vt:filetime>2021-09-29T00:00:00Z</vt:filetime>
  </property>
</Properties>
</file>