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ind w:left="125" w:hanging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mc:AlternateContent>
          <mc:Choice Requires="wps">
            <w:drawing>
              <wp:anchor behindDoc="0" distT="1270" distB="0" distL="635" distR="635" simplePos="0" locked="0" layoutInCell="0" allowOverlap="1" relativeHeight="2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60820" cy="116205"/>
                <wp:effectExtent l="635" t="1270" r="635" b="0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1000" cy="116280"/>
                        </a:xfrm>
                        <a:prstGeom prst="rect">
                          <a:avLst/>
                        </a:prstGeom>
                        <a:solidFill>
                          <a:srgbClr val="f10d0c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" path="m0,0l-2147483645,0l-2147483645,-2147483646l0,-2147483646xe" fillcolor="#f10d0c" stroked="t" o:allowincell="f" style="position:absolute;margin-left:2.4pt;margin-top:4.05pt;width:516.55pt;height:9.1pt;mso-wrap-style:none;v-text-anchor:middle">
                <v:fill o:detectmouseclick="t" type="solid" color2="#0ef2f3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widowControl w:val="false"/>
        <w:suppressAutoHyphens w:val="true"/>
        <w:bidi w:val="0"/>
        <w:spacing w:before="27" w:after="0"/>
        <w:ind w:left="0" w:right="0" w:hanging="0"/>
        <w:jc w:val="center"/>
        <w:rPr>
          <w:rFonts w:ascii="Calibri" w:hAnsi="Calibri" w:eastAsia="Calibri" w:cs="Calibri"/>
          <w:sz w:val="36"/>
          <w:szCs w:val="36"/>
        </w:rPr>
      </w:pPr>
      <w:r>
        <w:rPr>
          <w:b/>
          <w:color w:val="F10D0C"/>
          <w:spacing w:val="-1"/>
          <w:sz w:val="36"/>
        </w:rPr>
        <w:t>test_title</w:t>
      </w:r>
      <w:r>
        <w:rPr>
          <w:b/>
          <w:color w:val="3BA1DA"/>
          <w:spacing w:val="-1"/>
          <w:sz w:val="36"/>
        </w:rPr>
        <w:br/>
      </w:r>
    </w:p>
    <w:p>
      <w:pPr>
        <w:pStyle w:val="Normal"/>
        <w:spacing w:lineRule="atLeast" w:line="190"/>
        <w:ind w:left="124" w:hanging="0"/>
        <w:rPr>
          <w:rFonts w:ascii="Calibri" w:hAnsi="Calibri" w:eastAsia="Calibri" w:cs="Calibri"/>
          <w:sz w:val="19"/>
          <w:szCs w:val="19"/>
        </w:rPr>
      </w:pPr>
      <w:r>
        <w:rPr>
          <w:rFonts w:eastAsia="Calibri" w:cs="Calibri"/>
          <w:sz w:val="19"/>
          <w:szCs w:val="19"/>
        </w:rPr>
        <mc:AlternateContent>
          <mc:Choice Requires="wps">
            <w:drawing>
              <wp:anchor behindDoc="0" distT="1270" distB="0" distL="635" distR="635" simplePos="0" locked="0" layoutInCell="0" allowOverlap="1" relativeHeight="3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60820" cy="116205"/>
                <wp:effectExtent l="635" t="1270" r="635" b="0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1000" cy="116280"/>
                        </a:xfrm>
                        <a:prstGeom prst="rect">
                          <a:avLst/>
                        </a:prstGeom>
                        <a:solidFill>
                          <a:srgbClr val="f10d0c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#f10d0c" stroked="t" o:allowincell="f" style="position:absolute;margin-left:2.4pt;margin-top:4.05pt;width:516.55pt;height:9.1pt;mso-wrap-style:none;v-text-anchor:middle">
                <v:fill o:detectmouseclick="t" type="solid" color2="#0ef2f3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tLeast" w:line="190"/>
        <w:ind w:left="124" w:hanging="0"/>
        <w:rPr>
          <w:rFonts w:ascii="Calibri" w:hAnsi="Calibri" w:eastAsia="Calibri" w:cs="Calibri"/>
          <w:sz w:val="19"/>
          <w:szCs w:val="19"/>
        </w:rPr>
      </w:pPr>
      <w:r>
        <w:rPr>
          <w:rFonts w:eastAsia="Calibri" w:cs="Calibri"/>
          <w:sz w:val="19"/>
          <w:szCs w:val="19"/>
        </w:rPr>
      </w:r>
    </w:p>
    <w:p>
      <w:pPr>
        <w:pStyle w:val="Normal"/>
        <w:spacing w:lineRule="exact" w:line="349"/>
        <w:ind w:left="108" w:hanging="0"/>
        <w:rPr>
          <w:rFonts w:ascii="Arial" w:hAnsi="Arial"/>
          <w:b/>
          <w:b/>
          <w:spacing w:val="-1"/>
          <w:sz w:val="32"/>
          <w:szCs w:val="24"/>
        </w:rPr>
      </w:pPr>
      <w:r>
        <w:rPr>
          <w:rFonts w:ascii="Arial" w:hAnsi="Arial"/>
          <w:b/>
          <w:spacing w:val="-1"/>
          <w:sz w:val="32"/>
        </w:rPr>
        <w:t>intestaz_sex</w:t>
      </w:r>
      <w:r>
        <w:rPr>
          <w:rFonts w:ascii="Arial" w:hAnsi="Arial"/>
          <w:b/>
          <w:spacing w:val="-26"/>
          <w:sz w:val="32"/>
        </w:rPr>
        <w:t xml:space="preserve"> </w:t>
      </w:r>
      <w:r>
        <w:rPr>
          <w:rFonts w:ascii="Arial" w:hAnsi="Arial"/>
          <w:b/>
          <w:spacing w:val="-1"/>
          <w:sz w:val="32"/>
          <w:szCs w:val="24"/>
        </w:rPr>
        <w:t>&lt;nome&gt;</w:t>
        <w:br/>
      </w:r>
    </w:p>
    <w:tbl>
      <w:tblPr>
        <w:tblStyle w:val="Grigliatabella"/>
        <w:tblW w:w="1017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0"/>
        <w:gridCol w:w="3231"/>
        <w:gridCol w:w="3619"/>
      </w:tblGrid>
      <w:tr>
        <w:trPr>
          <w:trHeight w:val="787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pacing w:val="-1"/>
                <w:kern w:val="0"/>
                <w:sz w:val="24"/>
                <w:szCs w:val="24"/>
                <w:lang w:val="en-US" w:eastAsia="en-US" w:bidi="ar-SA"/>
              </w:rPr>
              <w:t>N° ACCETTAZIONE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&lt;NrAcc&gt;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 REFERTAZIONE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&lt;timestamp&gt;</w:t>
            </w:r>
          </w:p>
        </w:tc>
        <w:tc>
          <w:tcPr>
            <w:tcW w:w="3619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0"/>
                <w:szCs w:val="28"/>
              </w:rPr>
            </w:r>
          </w:p>
        </w:tc>
      </w:tr>
      <w:tr>
        <w:trPr>
          <w:trHeight w:val="739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</w:t>
            </w:r>
            <w:r>
              <w:rPr>
                <w:rFonts w:ascii="Arial" w:hAnsi="Arial"/>
                <w:b/>
                <w:spacing w:val="-3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NASCITA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&lt;datanasc&gt;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kern w:val="0"/>
                <w:sz w:val="24"/>
                <w:szCs w:val="22"/>
                <w:lang w:val="en-US" w:eastAsia="en-US" w:bidi="ar-SA"/>
              </w:rPr>
              <w:t>SESSO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&lt;sex&gt;</w:t>
            </w:r>
          </w:p>
        </w:tc>
        <w:tc>
          <w:tcPr>
            <w:tcW w:w="3619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0"/>
                <w:szCs w:val="28"/>
              </w:rPr>
            </w:r>
          </w:p>
        </w:tc>
      </w:tr>
      <w:tr>
        <w:trPr>
          <w:trHeight w:val="544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PESO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(kg):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&lt;weight&gt;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STATURA</w:t>
            </w:r>
            <w:r>
              <w:rPr>
                <w:rFonts w:ascii="Arial" w:hAnsi="Arial"/>
                <w:b/>
                <w:spacing w:val="-4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(cm):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&lt;height&gt;</w:t>
            </w:r>
          </w:p>
        </w:tc>
        <w:tc>
          <w:tcPr>
            <w:tcW w:w="3619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  <w:u w:val="single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BMI: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4"/>
                <w:szCs w:val="22"/>
                <w:lang w:val="en-US" w:eastAsia="en-US" w:bidi="ar-SA"/>
              </w:rPr>
              <w:t>&lt;bmi&gt;</w:t>
            </w:r>
          </w:p>
        </w:tc>
      </w:tr>
    </w:tbl>
    <w:p>
      <w:pPr>
        <w:pStyle w:val="Normal"/>
        <w:spacing w:before="72" w:after="0"/>
        <w:ind w:left="1682" w:hanging="0"/>
        <w:rPr>
          <w:rFonts w:ascii="Arial" w:hAnsi="Arial" w:eastAsia="Arial" w:cs="Arial"/>
          <w:lang w:val="it-IT"/>
        </w:rPr>
      </w:pPr>
      <w:r>
        <w:rPr>
          <w:rFonts w:ascii="Arial" w:hAnsi="Arial"/>
          <w:spacing w:val="-1"/>
          <w:lang w:val="it-IT"/>
        </w:rPr>
        <w:br/>
        <w:t>Sintesi degli esiti rilevati sulla base delle condizioni genetiche</w:t>
      </w:r>
      <w:r>
        <w:rPr>
          <w:rFonts w:ascii="Arial" w:hAnsi="Arial"/>
          <w:spacing w:val="-2"/>
          <w:lang w:val="it-IT"/>
        </w:rPr>
        <w:t xml:space="preserve"> </w:t>
      </w:r>
      <w:r>
        <w:rPr>
          <w:rFonts w:ascii="Arial" w:hAnsi="Arial"/>
          <w:spacing w:val="-1"/>
          <w:lang w:val="it-IT"/>
        </w:rPr>
        <w:t>indagate:</w:t>
      </w:r>
    </w:p>
    <w:p>
      <w:pPr>
        <w:pStyle w:val="Normal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p>
      <w:pPr>
        <w:pStyle w:val="Normal"/>
        <w:rPr>
          <w:rFonts w:ascii="Arial" w:hAnsi="Arial" w:eastAsia="Arial" w:cs="Arial"/>
          <w:sz w:val="14"/>
          <w:szCs w:val="14"/>
          <w:lang w:val="it-IT"/>
        </w:rPr>
      </w:pPr>
      <w:r>
        <w:rPr>
          <w:rFonts w:eastAsia="Arial" w:cs="Arial" w:ascii="Arial" w:hAnsi="Arial"/>
          <w:sz w:val="14"/>
          <w:szCs w:val="14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right="66" w:hanging="0"/>
              <w:jc w:val="center"/>
              <w:rPr>
                <w:rFonts w:ascii="Arial" w:hAnsi="Arial" w:eastAsia="Arial" w:cs="Arial"/>
                <w:b/>
                <w:b/>
                <w:bCs/>
                <w:color w:val="CC2A58"/>
                <w:sz w:val="24"/>
                <w:szCs w:val="24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CC2A58"/>
                <w:kern w:val="0"/>
                <w:sz w:val="24"/>
                <w:szCs w:val="24"/>
                <w:lang w:val="it-IT" w:eastAsia="en-US" w:bidi="ar-SA"/>
              </w:rPr>
              <w:t>SINDROME METABOLICA (MetS)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CC2A58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color w:val="FFFFFF" w:themeColor="background1"/>
                <w:lang w:val="it-IT"/>
              </w:rPr>
            </w:pPr>
            <w:r>
              <w:rPr>
                <w:rFonts w:eastAsia="Arial" w:cs="Arial" w:ascii="Arial" w:hAnsi="Arial"/>
                <w:color w:val="FFFFFF" w:themeColor="background1"/>
                <w:kern w:val="0"/>
                <w:sz w:val="22"/>
                <w:szCs w:val="22"/>
                <w:lang w:val="it-IT" w:eastAsia="en-US" w:bidi="ar-SA"/>
              </w:rPr>
              <w:t>&lt;testo_sindrome_met&gt;</w:t>
            </w:r>
          </w:p>
        </w:tc>
      </w:tr>
    </w:tbl>
    <w:p>
      <w:pPr>
        <w:pStyle w:val="Normal"/>
        <w:spacing w:before="3" w:after="0"/>
        <w:rPr>
          <w:rFonts w:ascii="Arial" w:hAnsi="Arial" w:eastAsia="Arial" w:cs="Arial"/>
          <w:sz w:val="14"/>
          <w:szCs w:val="14"/>
          <w:lang w:val="it-IT"/>
        </w:rPr>
      </w:pPr>
      <w:r>
        <w:rPr>
          <w:rFonts w:eastAsia="Arial" w:cs="Arial" w:ascii="Arial" w:hAnsi="Arial"/>
          <w:sz w:val="14"/>
          <w:szCs w:val="14"/>
          <w:lang w:val="it-IT"/>
        </w:rPr>
      </w:r>
    </w:p>
    <w:p>
      <w:pPr>
        <w:pStyle w:val="Normal"/>
        <w:spacing w:before="3" w:after="0"/>
        <w:rPr>
          <w:rFonts w:ascii="Arial" w:hAnsi="Arial" w:eastAsia="Arial" w:cs="Arial"/>
          <w:sz w:val="14"/>
          <w:szCs w:val="14"/>
          <w:lang w:val="it-IT"/>
        </w:rPr>
      </w:pPr>
      <w:r>
        <w:rPr>
          <w:rFonts w:eastAsia="Arial" w:cs="Arial" w:ascii="Arial" w:hAnsi="Arial"/>
          <w:sz w:val="14"/>
          <w:szCs w:val="14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right="66" w:hanging="0"/>
              <w:jc w:val="center"/>
              <w:rPr>
                <w:rFonts w:ascii="Arial" w:hAnsi="Arial" w:eastAsia="Arial" w:cs="Arial"/>
                <w:color w:val="92D050"/>
                <w:sz w:val="24"/>
                <w:szCs w:val="24"/>
              </w:rPr>
            </w:pPr>
            <w:r>
              <w:rPr>
                <w:rFonts w:ascii="Arial" w:hAnsi="Arial"/>
                <w:b/>
                <w:color w:val="92D050"/>
                <w:spacing w:val="-1"/>
                <w:kern w:val="0"/>
                <w:sz w:val="24"/>
                <w:szCs w:val="24"/>
                <w:lang w:val="en-US" w:eastAsia="en-US" w:bidi="ar-SA"/>
              </w:rPr>
              <w:t>PREDISPOSIZIONE GENETICA ALLE INTOLLERANZE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92CF50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lang w:val="it-IT" w:eastAsia="en-US" w:bidi="ar-SA"/>
              </w:rPr>
              <w:t>&lt;testo_intolleranze_junior&gt;</w:t>
            </w:r>
          </w:p>
        </w:tc>
      </w:tr>
    </w:tbl>
    <w:p>
      <w:pPr>
        <w:pStyle w:val="Normal"/>
        <w:spacing w:lineRule="atLeast" w:line="200"/>
        <w:ind w:hanging="0"/>
        <w:rPr>
          <w:rFonts w:ascii="Arial" w:hAnsi="Arial" w:eastAsia="Arial" w:cs="Arial"/>
          <w:sz w:val="14"/>
          <w:szCs w:val="14"/>
        </w:rPr>
      </w:pPr>
      <w:r>
        <w:rPr>
          <w:rFonts w:eastAsia="Arial" w:cs="Arial" w:ascii="Arial" w:hAnsi="Arial"/>
          <w:sz w:val="14"/>
          <w:szCs w:val="14"/>
        </w:rPr>
      </w:r>
    </w:p>
    <w:p>
      <w:pPr>
        <w:pStyle w:val="Normal"/>
        <w:spacing w:lineRule="atLeast" w:line="200"/>
        <w:ind w:hanging="0"/>
        <w:rPr>
          <w:rFonts w:ascii="Arial" w:hAnsi="Arial" w:eastAsia="Arial" w:cs="Arial"/>
          <w:sz w:val="14"/>
          <w:szCs w:val="14"/>
        </w:rPr>
      </w:pPr>
      <w:r>
        <w:rPr>
          <w:rFonts w:eastAsia="Arial" w:cs="Arial" w:ascii="Arial" w:hAnsi="Arial"/>
          <w:sz w:val="14"/>
          <w:szCs w:val="14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right="66" w:hanging="0"/>
              <w:jc w:val="center"/>
              <w:rPr>
                <w:rFonts w:ascii="Arial" w:hAnsi="Arial" w:eastAsia="Arial" w:cs="Arial"/>
                <w:b/>
                <w:b/>
                <w:bCs/>
                <w:color w:val="82CBD9"/>
                <w:sz w:val="24"/>
                <w:szCs w:val="24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82CBD9"/>
                <w:spacing w:val="-1"/>
                <w:kern w:val="0"/>
                <w:sz w:val="24"/>
                <w:szCs w:val="24"/>
                <w:lang w:val="it-IT" w:eastAsia="en-US" w:bidi="ar-SA"/>
              </w:rPr>
              <w:t>INSORGENZA DI CARIE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82CB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color w:val="000000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2"/>
                <w:szCs w:val="22"/>
                <w:lang w:val="it-IT" w:eastAsia="en-US" w:bidi="ar-SA"/>
              </w:rPr>
              <w:t>&lt;testo_carie&gt;</w:t>
            </w:r>
          </w:p>
        </w:tc>
      </w:tr>
    </w:tbl>
    <w:p>
      <w:pPr>
        <w:pStyle w:val="Normal"/>
        <w:spacing w:before="9" w:after="0"/>
        <w:rPr>
          <w:rFonts w:ascii="Arial" w:hAnsi="Arial" w:eastAsia="Arial" w:cs="Arial"/>
          <w:sz w:val="14"/>
          <w:szCs w:val="14"/>
        </w:rPr>
      </w:pPr>
      <w:r>
        <w:rPr>
          <w:rFonts w:eastAsia="Arial" w:cs="Arial" w:ascii="Arial" w:hAnsi="Arial"/>
          <w:sz w:val="14"/>
          <w:szCs w:val="14"/>
        </w:rPr>
      </w:r>
    </w:p>
    <w:p>
      <w:pPr>
        <w:pStyle w:val="Normal"/>
        <w:spacing w:before="9" w:after="0"/>
        <w:rPr>
          <w:rFonts w:ascii="Arial" w:hAnsi="Arial" w:eastAsia="Arial" w:cs="Arial"/>
          <w:sz w:val="14"/>
          <w:szCs w:val="14"/>
        </w:rPr>
      </w:pPr>
      <w:r>
        <w:rPr>
          <w:rFonts w:eastAsia="Arial" w:cs="Arial" w:ascii="Arial" w:hAnsi="Arial"/>
          <w:sz w:val="14"/>
          <w:szCs w:val="14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right="66" w:hanging="0"/>
              <w:jc w:val="center"/>
              <w:rPr>
                <w:rFonts w:ascii="Arial" w:hAnsi="Arial" w:eastAsia="Arial" w:cs="Arial"/>
                <w:b/>
                <w:b/>
                <w:bCs/>
                <w:color w:val="3BA1DA"/>
                <w:sz w:val="24"/>
                <w:szCs w:val="24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3BA1DA"/>
                <w:kern w:val="0"/>
                <w:sz w:val="24"/>
                <w:szCs w:val="24"/>
                <w:lang w:val="it-IT" w:eastAsia="en-US" w:bidi="ar-SA"/>
              </w:rPr>
              <w:t>DISFUNZIONI METABOLICHE VITAMINE/MINERALI E FRAGILITA’ OSSEA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3BA1DA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color w:val="FFFFFF" w:themeColor="background1"/>
                <w:lang w:val="it-IT"/>
              </w:rPr>
            </w:pPr>
            <w:r>
              <w:rPr>
                <w:rFonts w:eastAsia="Arial" w:cs="Arial" w:ascii="Arial" w:hAnsi="Arial"/>
                <w:color w:val="FFFFFF" w:themeColor="background1"/>
                <w:kern w:val="0"/>
                <w:sz w:val="22"/>
                <w:szCs w:val="22"/>
                <w:lang w:val="it-IT" w:eastAsia="en-US" w:bidi="ar-SA"/>
              </w:rPr>
              <w:t>&lt;testo_fragilita&gt;</w:t>
            </w:r>
          </w:p>
        </w:tc>
      </w:tr>
    </w:tbl>
    <w:p>
      <w:pPr>
        <w:pStyle w:val="Normal"/>
        <w:spacing w:before="11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4893310</wp:posOffset>
            </wp:positionH>
            <wp:positionV relativeFrom="paragraph">
              <wp:posOffset>123190</wp:posOffset>
            </wp:positionV>
            <wp:extent cx="1583690" cy="557530"/>
            <wp:effectExtent l="0" t="0" r="0" b="0"/>
            <wp:wrapSquare wrapText="largest"/>
            <wp:docPr id="3" name="image3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156210</wp:posOffset>
            </wp:positionH>
            <wp:positionV relativeFrom="paragraph">
              <wp:posOffset>79375</wp:posOffset>
            </wp:positionV>
            <wp:extent cx="1431925" cy="596900"/>
            <wp:effectExtent l="0" t="0" r="0" b="0"/>
            <wp:wrapSquare wrapText="largest"/>
            <wp:docPr id="4" name="image2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tLeast" w:line="200"/>
        <w:ind w:left="124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TextBody"/>
        <w:tabs>
          <w:tab w:val="clear" w:pos="720"/>
          <w:tab w:val="left" w:pos="5274" w:leader="none"/>
        </w:tabs>
        <w:spacing w:lineRule="atLeast" w:line="200"/>
        <w:ind w:left="108" w:hanging="0"/>
        <w:rPr/>
      </w:pPr>
      <w:r>
        <w:rPr>
          <w:position w:val="20"/>
        </w:rPr>
        <w:tab/>
      </w:r>
    </w:p>
    <w:p>
      <w:pPr>
        <w:pStyle w:val="Normal"/>
        <w:spacing w:lineRule="auto" w:line="276" w:before="12" w:after="0"/>
        <w:ind w:left="108" w:right="116" w:hanging="0"/>
        <w:rPr>
          <w:b/>
          <w:b/>
          <w:sz w:val="16"/>
          <w:szCs w:val="16"/>
          <w:u w:val="single" w:color="000000"/>
          <w:lang w:val="it-IT"/>
        </w:rPr>
      </w:pPr>
      <w:r>
        <w:rPr>
          <w:b/>
          <w:sz w:val="16"/>
          <w:szCs w:val="16"/>
          <w:u w:val="single" w:color="000000"/>
          <w:lang w:val="it-IT"/>
        </w:rPr>
      </w:r>
    </w:p>
    <w:p>
      <w:pPr>
        <w:pStyle w:val="Normal"/>
        <w:spacing w:lineRule="auto" w:line="276" w:before="12" w:after="0"/>
        <w:ind w:left="108" w:right="116" w:hanging="0"/>
        <w:rPr>
          <w:sz w:val="16"/>
          <w:szCs w:val="16"/>
        </w:rPr>
      </w:pPr>
      <w:r>
        <w:rPr>
          <w:b/>
          <w:sz w:val="16"/>
          <w:szCs w:val="16"/>
          <w:u w:val="single" w:color="000000"/>
          <w:lang w:val="it-IT"/>
        </w:rPr>
        <w:t>N.B.</w:t>
      </w:r>
      <w:r>
        <w:rPr>
          <w:b/>
          <w:spacing w:val="48"/>
          <w:sz w:val="16"/>
          <w:szCs w:val="16"/>
          <w:u w:val="single" w:color="000000"/>
          <w:lang w:val="it-IT"/>
        </w:rPr>
        <w:t xml:space="preserve"> </w:t>
      </w:r>
      <w:r>
        <w:rPr>
          <w:b/>
          <w:sz w:val="16"/>
          <w:szCs w:val="16"/>
          <w:u w:val="single" w:color="000000"/>
          <w:lang w:val="it-IT"/>
        </w:rPr>
        <w:t>La</w:t>
      </w:r>
      <w:r>
        <w:rPr>
          <w:b/>
          <w:spacing w:val="47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sintesi</w:t>
      </w:r>
      <w:r>
        <w:rPr>
          <w:b/>
          <w:spacing w:val="47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sopra</w:t>
      </w:r>
      <w:r>
        <w:rPr>
          <w:b/>
          <w:spacing w:val="48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riportata</w:t>
      </w:r>
      <w:r>
        <w:rPr>
          <w:b/>
          <w:spacing w:val="48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non</w:t>
      </w:r>
      <w:r>
        <w:rPr>
          <w:b/>
          <w:spacing w:val="44"/>
          <w:sz w:val="16"/>
          <w:szCs w:val="16"/>
          <w:u w:val="single" w:color="000000"/>
          <w:lang w:val="it-IT"/>
        </w:rPr>
        <w:t xml:space="preserve"> </w:t>
      </w:r>
      <w:r>
        <w:rPr>
          <w:b/>
          <w:sz w:val="16"/>
          <w:szCs w:val="16"/>
          <w:u w:val="single" w:color="000000"/>
          <w:lang w:val="it-IT"/>
        </w:rPr>
        <w:t>è</w:t>
      </w:r>
      <w:r>
        <w:rPr>
          <w:b/>
          <w:spacing w:val="45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una</w:t>
      </w:r>
      <w:r>
        <w:rPr>
          <w:b/>
          <w:spacing w:val="45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diagnosi</w:t>
      </w:r>
      <w:r>
        <w:rPr>
          <w:b/>
          <w:spacing w:val="46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clinica</w:t>
      </w:r>
      <w:r>
        <w:rPr>
          <w:b/>
          <w:spacing w:val="47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(le</w:t>
      </w:r>
      <w:r>
        <w:rPr>
          <w:b/>
          <w:spacing w:val="45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diagnosi</w:t>
      </w:r>
      <w:r>
        <w:rPr>
          <w:b/>
          <w:spacing w:val="44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cliniche</w:t>
      </w:r>
      <w:r>
        <w:rPr>
          <w:b/>
          <w:spacing w:val="45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spettano</w:t>
      </w:r>
      <w:r>
        <w:rPr>
          <w:b/>
          <w:spacing w:val="46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esclusivamente</w:t>
      </w:r>
      <w:r>
        <w:rPr>
          <w:b/>
          <w:spacing w:val="45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al</w:t>
      </w:r>
      <w:r>
        <w:rPr>
          <w:b/>
          <w:spacing w:val="40"/>
          <w:sz w:val="16"/>
          <w:szCs w:val="16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medico).</w:t>
      </w:r>
    </w:p>
    <w:p>
      <w:pPr>
        <w:pStyle w:val="Normal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p>
      <w:pPr>
        <w:pStyle w:val="Normal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p>
      <w:pPr>
        <w:pStyle w:val="Normal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  <w:r>
        <w:br w:type="page"/>
      </w:r>
    </w:p>
    <w:p>
      <w:pPr>
        <w:pStyle w:val="Normal"/>
        <w:spacing w:lineRule="auto" w:line="276" w:before="0" w:after="0"/>
        <w:ind w:left="108" w:right="-30" w:hanging="0"/>
        <w:jc w:val="center"/>
        <w:rPr>
          <w:rFonts w:ascii="Arial" w:hAnsi="Arial"/>
          <w:b/>
          <w:b/>
          <w:color w:val="E32C56"/>
          <w:spacing w:val="-1"/>
          <w:sz w:val="24"/>
          <w:lang w:val="it-IT"/>
        </w:rPr>
      </w:pPr>
      <w:r>
        <w:rPr>
          <w:rFonts w:ascii="Arial" w:hAnsi="Arial"/>
          <w:b/>
          <w:color w:val="E32C56"/>
          <w:spacing w:val="-1"/>
          <w:sz w:val="24"/>
          <w:lang w:val="it-IT"/>
        </w:rPr>
      </w:r>
    </w:p>
    <w:p>
      <w:pPr>
        <w:pStyle w:val="Normal"/>
        <w:spacing w:lineRule="auto" w:line="276" w:before="0" w:after="0"/>
        <w:ind w:left="108" w:right="-30" w:hanging="0"/>
        <w:jc w:val="center"/>
        <w:rPr>
          <w:rFonts w:ascii="Arial" w:hAnsi="Arial"/>
          <w:b/>
          <w:b/>
          <w:color w:val="E32C56"/>
          <w:spacing w:val="-1"/>
          <w:sz w:val="24"/>
          <w:lang w:val="it-IT"/>
        </w:rPr>
      </w:pPr>
      <w:r>
        <w:rPr>
          <w:rFonts w:ascii="Arial" w:hAnsi="Arial"/>
          <w:b/>
          <w:color w:val="E32C56"/>
          <w:spacing w:val="-1"/>
          <w:sz w:val="24"/>
          <w:lang w:val="it-IT"/>
        </w:rPr>
        <w:t>PREDISPOSIZIONE GENETICA ALLA SINDORME METABOLICA (MetS)</w:t>
      </w:r>
    </w:p>
    <w:p>
      <w:pPr>
        <w:pStyle w:val="Normal"/>
        <w:spacing w:lineRule="auto" w:line="276" w:before="69" w:after="0"/>
        <w:ind w:left="108" w:right="-30" w:hanging="0"/>
        <w:jc w:val="center"/>
        <w:rPr>
          <w:rFonts w:ascii="Arial" w:hAnsi="Arial"/>
          <w:b/>
          <w:b/>
          <w:color w:val="E32C56"/>
          <w:spacing w:val="-1"/>
          <w:sz w:val="24"/>
          <w:lang w:val="it-IT"/>
        </w:rPr>
      </w:pPr>
      <w:r>
        <w:rPr>
          <w:rFonts w:ascii="Arial" w:hAnsi="Arial"/>
          <w:b/>
          <w:color w:val="E32C56"/>
          <w:spacing w:val="-1"/>
          <w:sz w:val="24"/>
          <w:lang w:val="it-IT"/>
        </w:rPr>
      </w:r>
    </w:p>
    <w:p>
      <w:pPr>
        <w:pStyle w:val="TextBody"/>
        <w:spacing w:before="2" w:after="0"/>
        <w:ind w:left="0" w:hanging="0"/>
        <w:jc w:val="both"/>
        <w:rPr>
          <w:lang w:val="it-IT"/>
        </w:rPr>
      </w:pPr>
      <w:r>
        <w:rPr>
          <w:spacing w:val="-2"/>
          <w:lang w:val="it-IT"/>
        </w:rPr>
        <w:t>Negli ultimi anni, in concomitanza con l’aumento dei casi di obesità nell’età pediatrica, si è osservato un importante incremento della prevalenza di sindrome metabolica (MetS) nei bambini e negli adolescenti. La MetS è molto frequente e altera il peso anche in casi di sola alimentazione poco corretta e può alterare il metabolismo glicemico e lipidico fin dalla giovane età. Le modificazioni dello stile di vita, interessanti sia le abitudini alimentari che l’attività motoria, rimangono a tutt’oggi il punto cardine della gestione e del trattamento della MetS in età pediatrica e adolescenziale.</w:t>
      </w:r>
    </w:p>
    <w:p>
      <w:pPr>
        <w:pStyle w:val="TextBody"/>
        <w:spacing w:before="2" w:after="0"/>
        <w:ind w:left="0" w:hanging="0"/>
        <w:jc w:val="both"/>
        <w:rPr>
          <w:lang w:val="it-IT"/>
        </w:rPr>
      </w:pPr>
      <w:r>
        <w:rPr>
          <w:lang w:val="it-IT"/>
        </w:rPr>
      </w:r>
    </w:p>
    <w:p>
      <w:pPr>
        <w:pStyle w:val="Heading2"/>
        <w:ind w:left="0" w:hanging="0"/>
        <w:jc w:val="both"/>
        <w:rPr>
          <w:b w:val="false"/>
          <w:b w:val="false"/>
          <w:bCs w:val="false"/>
          <w:lang w:val="it-IT"/>
        </w:rPr>
      </w:pPr>
      <w:r>
        <w:rPr>
          <w:lang w:val="it-IT"/>
        </w:rPr>
        <w:t>IL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TUO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8"/>
          <w:lang w:val="it-IT"/>
        </w:rPr>
        <w:t xml:space="preserve"> </w:t>
      </w:r>
      <w:r>
        <w:rPr>
          <w:rFonts w:cs="Arial"/>
          <w:b w:val="false"/>
          <w:bCs w:val="false"/>
          <w:lang w:val="it-IT"/>
        </w:rPr>
        <w:t>testo_sindrome_met_lungo</w:t>
      </w:r>
    </w:p>
    <w:p>
      <w:pPr>
        <w:pStyle w:val="Normal"/>
        <w:spacing w:lineRule="exact" w:line="281"/>
        <w:ind w:hanging="0"/>
        <w:rPr>
          <w:rFonts w:ascii="Calibri" w:hAnsi="Calibri" w:eastAsia="Calibri" w:cs="Calibri"/>
          <w:sz w:val="24"/>
          <w:szCs w:val="24"/>
          <w:lang w:val="it-IT"/>
        </w:rPr>
      </w:pPr>
      <w:r>
        <w:rPr>
          <w:rFonts w:eastAsia="Calibri" w:cs="Calibri"/>
          <w:sz w:val="24"/>
          <w:szCs w:val="24"/>
          <w:lang w:val="it-IT"/>
        </w:rPr>
      </w:r>
    </w:p>
    <w:tbl>
      <w:tblPr>
        <w:tblStyle w:val="Grigliatabella"/>
        <w:tblW w:w="1041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40"/>
        <w:gridCol w:w="2247"/>
        <w:gridCol w:w="2697"/>
        <w:gridCol w:w="3125"/>
      </w:tblGrid>
      <w:tr>
        <w:trPr>
          <w:trHeight w:val="454" w:hRule="atLeast"/>
        </w:trPr>
        <w:tc>
          <w:tcPr>
            <w:tcW w:w="2340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8069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2340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247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697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125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</w:tbl>
    <w:p>
      <w:pPr>
        <w:pStyle w:val="Normal"/>
        <w:spacing w:lineRule="exact" w:line="281"/>
        <w:ind w:hanging="0"/>
        <w:rPr>
          <w:rFonts w:ascii="Calibri" w:hAnsi="Calibri" w:eastAsia="Calibri" w:cs="Calibri"/>
          <w:sz w:val="24"/>
          <w:szCs w:val="24"/>
          <w:lang w:val="it-IT"/>
        </w:rPr>
      </w:pPr>
      <w:r>
        <w:rPr>
          <w:rFonts w:eastAsia="Calibri" w:cs="Calibri"/>
          <w:sz w:val="24"/>
          <w:szCs w:val="24"/>
          <w:lang w:val="it-IT"/>
        </w:rPr>
      </w:r>
    </w:p>
    <w:tbl>
      <w:tblPr>
        <w:tblStyle w:val="Grigliatabella"/>
        <w:tblW w:w="1045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60"/>
        <w:gridCol w:w="1607"/>
        <w:gridCol w:w="1604"/>
        <w:gridCol w:w="2342"/>
        <w:gridCol w:w="2544"/>
      </w:tblGrid>
      <w:tr>
        <w:trPr>
          <w:trHeight w:val="454" w:hRule="atLeast"/>
        </w:trPr>
        <w:tc>
          <w:tcPr>
            <w:tcW w:w="2360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1607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:lang w:val="it-IT"/>
              </w:rPr>
              <w:t>SNP</w:t>
            </w:r>
          </w:p>
        </w:tc>
        <w:tc>
          <w:tcPr>
            <w:tcW w:w="6490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2360" w:type="dxa"/>
            <w:tcBorders>
              <w:right w:val="nil"/>
            </w:tcBorders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607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604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342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2544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</w:tbl>
    <w:p>
      <w:pPr>
        <w:pStyle w:val="Normal"/>
        <w:spacing w:lineRule="exact" w:line="281"/>
        <w:ind w:hanging="0"/>
        <w:rPr>
          <w:rFonts w:ascii="Calibri" w:hAnsi="Calibri" w:eastAsia="Calibri" w:cs="Calibri"/>
          <w:sz w:val="24"/>
          <w:szCs w:val="24"/>
          <w:lang w:val="it-IT"/>
        </w:rPr>
      </w:pPr>
      <w:r>
        <w:rPr>
          <w:rFonts w:eastAsia="Calibri" w:cs="Calibri"/>
          <w:sz w:val="24"/>
          <w:szCs w:val="24"/>
          <w:lang w:val="it-IT"/>
        </w:rPr>
      </w:r>
      <w:r>
        <w:br w:type="page"/>
      </w:r>
    </w:p>
    <w:p>
      <w:pPr>
        <w:pStyle w:val="Normal"/>
        <w:spacing w:lineRule="exact" w:line="281"/>
        <w:ind w:hanging="0"/>
        <w:rPr>
          <w:b w:val="false"/>
          <w:b w:val="false"/>
          <w:bCs w:val="false"/>
          <w:color w:val="92D050"/>
        </w:rPr>
      </w:pPr>
      <w:r>
        <w:rPr>
          <w:b w:val="false"/>
          <w:bCs w:val="false"/>
          <w:color w:val="92D050"/>
        </w:rPr>
      </w:r>
    </w:p>
    <w:p>
      <w:pPr>
        <w:pStyle w:val="Heading1"/>
        <w:spacing w:before="0" w:after="0"/>
        <w:ind w:left="2147" w:hanging="0"/>
        <w:rPr>
          <w:b w:val="false"/>
          <w:b w:val="false"/>
          <w:bCs w:val="false"/>
          <w:color w:val="92D050"/>
        </w:rPr>
      </w:pPr>
      <w:r>
        <w:rPr>
          <w:color w:val="92D050"/>
          <w:spacing w:val="-1"/>
        </w:rPr>
        <w:t>PREDISPOSIZIONE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GENETICA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ALLE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INTOLLERANZE</w:t>
      </w:r>
    </w:p>
    <w:p>
      <w:pPr>
        <w:pStyle w:val="Normal"/>
        <w:spacing w:before="4" w:after="0"/>
        <w:rPr>
          <w:rFonts w:ascii="Arial" w:hAnsi="Arial" w:eastAsia="Arial" w:cs="Arial"/>
          <w:b/>
          <w:b/>
          <w:bCs/>
          <w:sz w:val="25"/>
          <w:szCs w:val="25"/>
        </w:rPr>
      </w:pPr>
      <w:r>
        <w:rPr>
          <w:rFonts w:eastAsia="Arial" w:cs="Arial" w:ascii="Arial" w:hAnsi="Arial"/>
          <w:b/>
          <w:bCs/>
          <w:sz w:val="25"/>
          <w:szCs w:val="25"/>
        </w:rPr>
      </w:r>
    </w:p>
    <w:p>
      <w:pPr>
        <w:pStyle w:val="TextBody"/>
        <w:spacing w:lineRule="auto" w:line="271"/>
        <w:ind w:left="0" w:right="98" w:hanging="0"/>
        <w:jc w:val="both"/>
        <w:rPr>
          <w:lang w:val="it-IT"/>
        </w:rPr>
      </w:pPr>
      <w:r>
        <w:rPr>
          <w:spacing w:val="-1"/>
          <w:lang w:val="it-IT"/>
        </w:rPr>
        <w:t>Le intolleranze alimentari in età pediatrica richiedono una gestione attenta e personalizzata. Un'adeguata diagnosi e un approccio dietetico corretto possono aiutare a minimizzare i sintomi e migliorare la qualità della vita dei bambini affetti. È fondamentale garantire un trattamento efficace e personalizzato considerando la componente genetica.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2"/>
        <w:ind w:left="0" w:hanging="0"/>
        <w:rPr>
          <w:b w:val="false"/>
          <w:b w:val="false"/>
          <w:bCs w:val="false"/>
          <w:spacing w:val="-8"/>
          <w:lang w:val="it-IT"/>
        </w:rPr>
      </w:pPr>
      <w:r>
        <w:rPr>
          <w:lang w:val="it-IT"/>
        </w:rPr>
        <w:t>IL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TUO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8"/>
          <w:lang w:val="it-IT"/>
        </w:rPr>
        <w:t xml:space="preserve"> </w:t>
      </w:r>
      <w:r>
        <w:rPr>
          <w:b w:val="false"/>
          <w:bCs w:val="false"/>
          <w:spacing w:val="-8"/>
          <w:lang w:val="it-IT"/>
        </w:rPr>
        <w:t>testo_intolleranze_junior_lungo</w:t>
      </w:r>
    </w:p>
    <w:p>
      <w:pPr>
        <w:pStyle w:val="Heading2"/>
        <w:rPr>
          <w:b w:val="false"/>
          <w:b w:val="false"/>
          <w:bCs w:val="false"/>
          <w:spacing w:val="-8"/>
          <w:lang w:val="it-IT"/>
        </w:rPr>
      </w:pPr>
      <w:r>
        <w:rPr>
          <w:b w:val="false"/>
          <w:bCs w:val="false"/>
          <w:spacing w:val="-8"/>
          <w:lang w:val="it-IT"/>
        </w:rPr>
      </w:r>
    </w:p>
    <w:p>
      <w:pPr>
        <w:pStyle w:val="Heading2"/>
        <w:rPr>
          <w:b w:val="false"/>
          <w:b w:val="false"/>
          <w:bCs w:val="false"/>
          <w:spacing w:val="-8"/>
          <w:lang w:val="it-IT"/>
        </w:rPr>
      </w:pPr>
      <w:r>
        <w:rPr>
          <w:b w:val="false"/>
          <w:bCs w:val="false"/>
          <w:spacing w:val="-8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42"/>
        <w:gridCol w:w="1329"/>
        <w:gridCol w:w="2130"/>
        <w:gridCol w:w="1681"/>
        <w:gridCol w:w="3368"/>
      </w:tblGrid>
      <w:tr>
        <w:trPr>
          <w:trHeight w:val="454" w:hRule="atLeast"/>
        </w:trPr>
        <w:tc>
          <w:tcPr>
            <w:tcW w:w="1842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5140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368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842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329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30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681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3368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</w:tbl>
    <w:p>
      <w:pPr>
        <w:pStyle w:val="Normal"/>
        <w:rPr>
          <w:b w:val="false"/>
          <w:b w:val="false"/>
          <w:bCs w:val="false"/>
          <w:spacing w:val="-8"/>
          <w:lang w:val="it-IT"/>
        </w:rPr>
      </w:pPr>
      <w:r>
        <w:rPr>
          <w:b w:val="false"/>
          <w:bCs w:val="false"/>
          <w:spacing w:val="-8"/>
          <w:lang w:val="it-IT"/>
        </w:rPr>
      </w:r>
    </w:p>
    <w:p>
      <w:pPr>
        <w:pStyle w:val="Normal"/>
        <w:rPr>
          <w:b w:val="false"/>
          <w:b w:val="false"/>
          <w:bCs w:val="false"/>
          <w:spacing w:val="-8"/>
          <w:lang w:val="it-IT"/>
        </w:rPr>
      </w:pPr>
      <w:r>
        <w:rPr>
          <w:b w:val="false"/>
          <w:bCs w:val="false"/>
          <w:spacing w:val="-8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89"/>
        <w:gridCol w:w="2426"/>
        <w:gridCol w:w="2358"/>
        <w:gridCol w:w="1338"/>
        <w:gridCol w:w="2439"/>
      </w:tblGrid>
      <w:tr>
        <w:trPr>
          <w:trHeight w:val="454" w:hRule="atLeast"/>
        </w:trPr>
        <w:tc>
          <w:tcPr>
            <w:tcW w:w="1789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6122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2439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789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426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rFonts w:ascii="Arial" w:hAnsi="Arial" w:eastAsia="Arial" w:cs="" w:cstheme="minorBidi"/>
                <w:b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VELOCE</w:t>
            </w:r>
          </w:p>
        </w:tc>
        <w:tc>
          <w:tcPr>
            <w:tcW w:w="2358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rFonts w:ascii="Arial" w:hAnsi="Arial" w:eastAsia="Arial" w:cs="" w:cstheme="minorBidi"/>
                <w:b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LENTO</w:t>
            </w:r>
          </w:p>
        </w:tc>
        <w:tc>
          <w:tcPr>
            <w:tcW w:w="1338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2439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</w:tbl>
    <w:p>
      <w:pPr>
        <w:pStyle w:val="Normal"/>
        <w:spacing w:before="8" w:after="0"/>
        <w:rPr>
          <w:rFonts w:ascii="Arial" w:hAnsi="Arial" w:eastAsia="Arial" w:cs="Arial"/>
          <w:b/>
          <w:b/>
          <w:bCs/>
          <w:sz w:val="19"/>
          <w:szCs w:val="19"/>
          <w:lang w:val="it-IT"/>
        </w:rPr>
      </w:pPr>
      <w:r>
        <w:rPr>
          <w:rFonts w:eastAsia="Arial" w:cs="Arial" w:ascii="Arial" w:hAnsi="Arial"/>
          <w:b/>
          <w:bCs/>
          <w:sz w:val="19"/>
          <w:szCs w:val="19"/>
          <w:lang w:val="it-IT"/>
        </w:rPr>
      </w:r>
      <w:r>
        <w:br w:type="page"/>
      </w:r>
    </w:p>
    <w:p>
      <w:pPr>
        <w:pStyle w:val="Normal"/>
        <w:spacing w:before="0" w:after="0"/>
        <w:rPr>
          <w:rFonts w:ascii="Arial" w:hAnsi="Arial" w:eastAsia="Arial" w:cs="Arial"/>
          <w:b/>
          <w:b/>
          <w:bCs/>
          <w:sz w:val="17"/>
          <w:szCs w:val="17"/>
        </w:rPr>
      </w:pPr>
      <w:r>
        <w:rPr>
          <w:rFonts w:eastAsia="Arial" w:cs="Arial" w:ascii="Arial" w:hAnsi="Arial"/>
          <w:b/>
          <w:bCs/>
          <w:sz w:val="17"/>
          <w:szCs w:val="17"/>
        </w:rPr>
      </w:r>
    </w:p>
    <w:p>
      <w:pPr>
        <w:pStyle w:val="Normal"/>
        <w:spacing w:before="69" w:after="0"/>
        <w:ind w:hanging="0"/>
        <w:jc w:val="center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eastAsia="Arial" w:cs="Arial" w:ascii="Arial" w:hAnsi="Arial"/>
          <w:b/>
          <w:color w:val="82CBD9"/>
          <w:spacing w:val="-1"/>
          <w:sz w:val="24"/>
          <w:szCs w:val="24"/>
          <w:lang w:val="it-IT"/>
        </w:rPr>
        <w:t>PREDISPOSIZIONE GENETICA ALL’INSORGENZA DI CARIE</w:t>
      </w:r>
    </w:p>
    <w:p>
      <w:pPr>
        <w:pStyle w:val="Normal"/>
        <w:spacing w:before="6" w:after="0"/>
        <w:rPr>
          <w:rFonts w:ascii="Arial" w:hAnsi="Arial" w:eastAsia="Arial" w:cs="Arial"/>
          <w:b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TextBody"/>
        <w:spacing w:lineRule="auto" w:line="271"/>
        <w:ind w:left="0" w:right="117" w:hanging="0"/>
        <w:jc w:val="both"/>
        <w:rPr>
          <w:lang w:val="it-IT"/>
        </w:rPr>
      </w:pPr>
      <w:r>
        <w:rPr>
          <w:spacing w:val="-2"/>
          <w:lang w:val="it-IT"/>
        </w:rPr>
        <w:t>La carie dentale è una malattia patologica multifattoriale considerata una delle malattie croniche più diffuse che colpisce sia i bambini che gli adulti. Varianti genetiche (SNPs) sono state associate all'aumentata prevalenza di carie così come alla ridotta prevalenza di carie. Alcune proteine codificate da geni specifici e presenti nella saliva sono state correlate alle risposte immunitarie individuali e possiedono proprietà antimicrobiche, antivirali, antifungine e/o antinfiammatorie.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2"/>
        <w:ind w:left="0" w:hanging="0"/>
        <w:jc w:val="both"/>
        <w:rPr>
          <w:rFonts w:cs="Arial"/>
          <w:b w:val="false"/>
          <w:b w:val="false"/>
          <w:bCs w:val="false"/>
          <w:lang w:val="it-IT"/>
        </w:rPr>
      </w:pPr>
      <w:r>
        <w:rPr>
          <w:lang w:val="it-IT"/>
        </w:rPr>
        <w:t>IL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TUO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8"/>
          <w:lang w:val="it-IT"/>
        </w:rPr>
        <w:t xml:space="preserve"> </w:t>
      </w:r>
      <w:r>
        <w:rPr>
          <w:rFonts w:cs="Arial"/>
          <w:b w:val="false"/>
          <w:bCs w:val="false"/>
          <w:lang w:val="it-IT"/>
        </w:rPr>
        <w:t>testo_carie_lungo</w:t>
      </w:r>
    </w:p>
    <w:p>
      <w:pPr>
        <w:pStyle w:val="Heading2"/>
        <w:jc w:val="both"/>
        <w:rPr>
          <w:rFonts w:cs="Arial"/>
          <w:b w:val="false"/>
          <w:b w:val="false"/>
          <w:bCs w:val="false"/>
          <w:lang w:val="it-IT"/>
        </w:rPr>
      </w:pPr>
      <w:r>
        <w:rPr>
          <w:rFonts w:cs="Arial"/>
          <w:b w:val="false"/>
          <w:bCs w:val="false"/>
          <w:lang w:val="it-IT"/>
        </w:rPr>
      </w:r>
    </w:p>
    <w:p>
      <w:pPr>
        <w:pStyle w:val="Heading2"/>
        <w:jc w:val="both"/>
        <w:rPr>
          <w:rFonts w:cs="Arial"/>
          <w:b w:val="false"/>
          <w:b w:val="false"/>
          <w:bCs w:val="false"/>
          <w:sz w:val="19"/>
          <w:szCs w:val="19"/>
          <w:lang w:val="it-IT"/>
        </w:rPr>
      </w:pPr>
      <w:r>
        <w:rPr>
          <w:rFonts w:cs="Arial"/>
          <w:b w:val="false"/>
          <w:bCs w:val="false"/>
          <w:sz w:val="19"/>
          <w:szCs w:val="19"/>
          <w:lang w:val="it-IT"/>
        </w:rPr>
      </w:r>
    </w:p>
    <w:tbl>
      <w:tblPr>
        <w:tblStyle w:val="Grigliatabella"/>
        <w:tblW w:w="1041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40"/>
        <w:gridCol w:w="2246"/>
        <w:gridCol w:w="2697"/>
        <w:gridCol w:w="3126"/>
      </w:tblGrid>
      <w:tr>
        <w:trPr>
          <w:trHeight w:val="454" w:hRule="atLeast"/>
        </w:trPr>
        <w:tc>
          <w:tcPr>
            <w:tcW w:w="2340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8069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2340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246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697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126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</w:tbl>
    <w:p>
      <w:pPr>
        <w:pStyle w:val="Normal"/>
        <w:pageBreakBefore w:val="false"/>
        <w:spacing w:before="8" w:after="0"/>
        <w:rPr>
          <w:rFonts w:ascii="Times New Roman" w:hAnsi="Times New Roman" w:eastAsia="Times New Roman" w:cs="Times New Roman"/>
          <w:sz w:val="20"/>
          <w:szCs w:val="20"/>
          <w:lang w:val="it-IT"/>
        </w:rPr>
      </w:pPr>
      <w:r>
        <w:rPr>
          <w:rFonts w:eastAsia="Times New Roman" w:cs="Times New Roman" w:ascii="Times New Roman" w:hAnsi="Times New Roman"/>
          <w:sz w:val="20"/>
          <w:szCs w:val="20"/>
          <w:lang w:val="it-IT"/>
        </w:rPr>
      </w:r>
      <w:r>
        <w:br w:type="page"/>
      </w:r>
    </w:p>
    <w:p>
      <w:pPr>
        <w:pStyle w:val="Normal"/>
        <w:spacing w:before="0" w:after="0"/>
        <w:ind w:right="42" w:hanging="0"/>
        <w:jc w:val="center"/>
        <w:rPr>
          <w:rFonts w:ascii="Arial" w:hAnsi="Arial"/>
          <w:b/>
          <w:b/>
          <w:color w:val="3BA1DA"/>
          <w:spacing w:val="1"/>
          <w:sz w:val="24"/>
          <w:lang w:val="it-IT"/>
        </w:rPr>
      </w:pPr>
      <w:r>
        <w:rPr>
          <w:rFonts w:ascii="Arial" w:hAnsi="Arial"/>
          <w:b/>
          <w:color w:val="3BA1DA"/>
          <w:spacing w:val="1"/>
          <w:sz w:val="24"/>
          <w:lang w:val="it-IT"/>
        </w:rPr>
      </w:r>
    </w:p>
    <w:p>
      <w:pPr>
        <w:pStyle w:val="Normal"/>
        <w:spacing w:before="0" w:after="0"/>
        <w:ind w:right="42" w:hanging="0"/>
        <w:jc w:val="center"/>
        <w:rPr>
          <w:rFonts w:ascii="Arial" w:hAnsi="Arial"/>
          <w:b/>
          <w:b/>
          <w:color w:val="3BA1DA"/>
          <w:spacing w:val="1"/>
          <w:sz w:val="24"/>
          <w:lang w:val="it-IT"/>
        </w:rPr>
      </w:pPr>
      <w:r>
        <w:rPr>
          <w:rFonts w:eastAsia="Arial" w:cs="Arial" w:ascii="Arial" w:hAnsi="Arial"/>
          <w:b/>
          <w:color w:val="3BA1DA"/>
          <w:spacing w:val="-1"/>
          <w:sz w:val="24"/>
          <w:szCs w:val="24"/>
          <w:lang w:val="it-IT"/>
        </w:rPr>
        <w:t>PREDISPOSIZIONE GENETICA A DISFUNZIONI METABOLICHE VITAMINE/MINERALI E FRAGILITA’ OSSEA</w:t>
      </w:r>
    </w:p>
    <w:p>
      <w:pPr>
        <w:pStyle w:val="Normal"/>
        <w:spacing w:before="2" w:after="0"/>
        <w:rPr>
          <w:rFonts w:ascii="Arial" w:hAnsi="Arial" w:eastAsia="Arial" w:cs="Arial"/>
          <w:b/>
          <w:b/>
          <w:bCs/>
          <w:sz w:val="21"/>
          <w:szCs w:val="21"/>
          <w:lang w:val="it-IT"/>
        </w:rPr>
      </w:pPr>
      <w:r>
        <w:rPr>
          <w:rFonts w:eastAsia="Arial" w:cs="Arial" w:ascii="Arial" w:hAnsi="Arial"/>
          <w:b/>
          <w:bCs/>
          <w:sz w:val="21"/>
          <w:szCs w:val="21"/>
          <w:lang w:val="it-IT"/>
        </w:rPr>
      </w:r>
    </w:p>
    <w:p>
      <w:pPr>
        <w:pStyle w:val="TextBody"/>
        <w:spacing w:lineRule="auto" w:line="271"/>
        <w:ind w:left="0" w:right="99" w:hanging="0"/>
        <w:jc w:val="both"/>
        <w:rPr>
          <w:lang w:val="it-IT"/>
        </w:rPr>
      </w:pPr>
      <w:r>
        <w:rPr>
          <w:spacing w:val="-1"/>
          <w:lang w:val="it-IT"/>
        </w:rPr>
        <w:t xml:space="preserve">Le fratture pediatriche e/o giovanili sono comuni e spesso legate a traumi. Tuttavia, in alcuni bambini, queste fratture possono essere influenzate da fattori genetici. </w:t>
      </w:r>
    </w:p>
    <w:p>
      <w:pPr>
        <w:pStyle w:val="TextBody"/>
        <w:spacing w:lineRule="auto" w:line="271"/>
        <w:ind w:left="0" w:right="99" w:hanging="0"/>
        <w:jc w:val="both"/>
        <w:rPr>
          <w:lang w:val="it-IT"/>
        </w:rPr>
      </w:pPr>
      <w:r>
        <w:rPr>
          <w:spacing w:val="-1"/>
          <w:lang w:val="it-IT"/>
        </w:rPr>
        <w:t>Inoltre, minerali e vitamine sono essenziali per la salute ossea. Per esempio, la vitamina D è essenziale soprattutto in età pediatrica, poiché facilita l'assorbimento del calcio e del fosforo, minerali cruciali per la formazione e il mantenimento delle ossa.</w:t>
      </w:r>
    </w:p>
    <w:p>
      <w:pPr>
        <w:pStyle w:val="TextBody"/>
        <w:spacing w:lineRule="auto" w:line="271"/>
        <w:ind w:left="0" w:right="99" w:hanging="0"/>
        <w:jc w:val="both"/>
        <w:rPr>
          <w:lang w:val="it-IT"/>
        </w:rPr>
      </w:pPr>
      <w:r>
        <w:rPr>
          <w:spacing w:val="-1"/>
          <w:lang w:val="it-IT"/>
        </w:rPr>
        <w:t>È quindi importante conoscere una predisposizione genetica sin dall’infanzia a condizioni quali la fragilità ossea, per un trattamento efficace e personalizzato.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2"/>
        <w:ind w:left="0" w:hanging="0"/>
        <w:jc w:val="both"/>
        <w:rPr>
          <w:b w:val="false"/>
          <w:b w:val="false"/>
          <w:bCs w:val="false"/>
          <w:lang w:val="it-IT"/>
        </w:rPr>
      </w:pPr>
      <w:r>
        <w:rPr>
          <w:lang w:val="it-IT"/>
        </w:rPr>
        <w:t>IL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TUO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8"/>
          <w:lang w:val="it-IT"/>
        </w:rPr>
        <w:t xml:space="preserve"> </w:t>
      </w:r>
      <w:r>
        <w:rPr>
          <w:rFonts w:cs="Arial"/>
          <w:b w:val="false"/>
          <w:bCs w:val="false"/>
          <w:lang w:val="it-IT"/>
        </w:rPr>
        <w:t>testo_fragilita_lungo</w:t>
      </w:r>
    </w:p>
    <w:p>
      <w:pPr>
        <w:pStyle w:val="Normal"/>
        <w:spacing w:before="10" w:after="0"/>
        <w:rPr>
          <w:rFonts w:ascii="Arial" w:hAnsi="Arial" w:eastAsia="Arial" w:cs="Arial"/>
          <w:b/>
          <w:b/>
          <w:bCs/>
          <w:sz w:val="19"/>
          <w:szCs w:val="19"/>
          <w:lang w:val="it-IT"/>
        </w:rPr>
      </w:pPr>
      <w:r>
        <w:rPr>
          <w:rFonts w:eastAsia="Arial" w:cs="Arial" w:ascii="Arial" w:hAnsi="Arial"/>
          <w:b/>
          <w:bCs/>
          <w:sz w:val="19"/>
          <w:szCs w:val="19"/>
          <w:lang w:val="it-IT"/>
        </w:rPr>
      </w:r>
    </w:p>
    <w:tbl>
      <w:tblPr>
        <w:tblStyle w:val="Grigliatabella"/>
        <w:tblW w:w="1040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880"/>
        <w:gridCol w:w="2696"/>
        <w:gridCol w:w="2672"/>
      </w:tblGrid>
      <w:tr>
        <w:trPr>
          <w:trHeight w:val="454" w:hRule="atLeast"/>
        </w:trPr>
        <w:tc>
          <w:tcPr>
            <w:tcW w:w="2160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8248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2160" w:type="dxa"/>
            <w:tcBorders>
              <w:right w:val="nil"/>
            </w:tcBorders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880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696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2672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ind w:left="108" w:hanging="0"/>
        <w:rPr>
          <w:rFonts w:ascii="Calibri" w:hAnsi="Calibri" w:eastAsia="Calibri" w:cs="Calibri"/>
          <w:sz w:val="28"/>
          <w:szCs w:val="28"/>
          <w:lang w:val="it-IT"/>
        </w:rPr>
      </w:pPr>
      <w:r>
        <w:rPr>
          <w:b/>
          <w:color w:val="7F7F7F"/>
          <w:spacing w:val="-1"/>
          <w:sz w:val="28"/>
          <w:u w:val="single" w:color="7F7F7F"/>
          <w:lang w:val="it-IT"/>
        </w:rPr>
        <w:t>INFORMAZIONI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ESSENZIALI </w:t>
      </w:r>
      <w:r>
        <w:rPr>
          <w:b/>
          <w:color w:val="7F7F7F"/>
          <w:sz w:val="28"/>
          <w:u w:val="single" w:color="7F7F7F"/>
          <w:lang w:val="it-IT"/>
        </w:rPr>
        <w:t>A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 COMPLETAMENTO</w:t>
      </w:r>
      <w:r>
        <w:rPr>
          <w:b/>
          <w:color w:val="7F7F7F"/>
          <w:spacing w:val="-3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DEL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TEST</w:t>
      </w:r>
    </w:p>
    <w:p>
      <w:pPr>
        <w:pStyle w:val="Normal"/>
        <w:spacing w:before="4" w:after="0"/>
        <w:rPr>
          <w:rFonts w:ascii="Calibri" w:hAnsi="Calibri" w:eastAsia="Calibri" w:cs="Calibri"/>
          <w:b/>
          <w:b/>
          <w:bCs/>
          <w:sz w:val="13"/>
          <w:szCs w:val="13"/>
          <w:lang w:val="it-IT"/>
        </w:rPr>
      </w:pPr>
      <w:r>
        <w:rPr>
          <w:rFonts w:eastAsia="Calibri" w:cs="Calibri"/>
          <w:b/>
          <w:bCs/>
          <w:sz w:val="13"/>
          <w:szCs w:val="13"/>
          <w:lang w:val="it-IT"/>
        </w:rPr>
      </w:r>
    </w:p>
    <w:p>
      <w:pPr>
        <w:pStyle w:val="TextBody"/>
        <w:spacing w:lineRule="auto" w:line="271" w:before="74" w:after="0"/>
        <w:ind w:left="108" w:right="98" w:hanging="0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44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contempla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uno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studio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mirato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sole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variazioni</w:t>
      </w:r>
      <w:r>
        <w:rPr>
          <w:spacing w:val="42"/>
          <w:lang w:val="it-IT"/>
        </w:rPr>
        <w:t xml:space="preserve"> </w:t>
      </w:r>
      <w:r>
        <w:rPr>
          <w:spacing w:val="-2"/>
          <w:lang w:val="it-IT"/>
        </w:rPr>
        <w:t>genetiche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sulla</w:t>
      </w:r>
      <w:r>
        <w:rPr>
          <w:spacing w:val="42"/>
          <w:lang w:val="it-IT"/>
        </w:rPr>
        <w:t xml:space="preserve"> </w:t>
      </w:r>
      <w:r>
        <w:rPr>
          <w:spacing w:val="-1"/>
          <w:lang w:val="it-IT"/>
        </w:rPr>
        <w:t>cui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corresponsabilità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nell'insorgenza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47"/>
          <w:w w:val="99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complesse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vi</w:t>
      </w:r>
      <w:r>
        <w:rPr>
          <w:spacing w:val="54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1"/>
          <w:lang w:val="it-IT"/>
        </w:rPr>
        <w:t xml:space="preserve"> </w:t>
      </w:r>
      <w:r>
        <w:rPr>
          <w:lang w:val="it-IT"/>
        </w:rPr>
        <w:t>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sostegno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estesa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letteratura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scientifica.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rappresenta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utilissimo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strumento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ai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fini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benessere.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però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sottolineato</w:t>
      </w:r>
      <w:r>
        <w:rPr>
          <w:spacing w:val="34"/>
          <w:w w:val="99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21"/>
          <w:lang w:val="it-IT"/>
        </w:rPr>
        <w:t xml:space="preserve"> </w:t>
      </w:r>
      <w:r>
        <w:rPr>
          <w:b/>
          <w:lang w:val="it-IT"/>
        </w:rPr>
        <w:t>non</w:t>
      </w:r>
      <w:r>
        <w:rPr>
          <w:b/>
          <w:spacing w:val="22"/>
          <w:lang w:val="it-IT"/>
        </w:rPr>
        <w:t xml:space="preserve"> </w:t>
      </w:r>
      <w:r>
        <w:rPr>
          <w:b/>
          <w:lang w:val="it-IT"/>
        </w:rPr>
        <w:t>rappresenta</w:t>
      </w:r>
      <w:r>
        <w:rPr>
          <w:b/>
          <w:spacing w:val="19"/>
          <w:lang w:val="it-IT"/>
        </w:rPr>
        <w:t xml:space="preserve"> </w:t>
      </w:r>
      <w:r>
        <w:rPr>
          <w:b/>
          <w:spacing w:val="-1"/>
          <w:lang w:val="it-IT"/>
        </w:rPr>
        <w:t>una</w:t>
      </w:r>
      <w:r>
        <w:rPr>
          <w:b/>
          <w:spacing w:val="20"/>
          <w:lang w:val="it-IT"/>
        </w:rPr>
        <w:t xml:space="preserve"> </w:t>
      </w:r>
      <w:r>
        <w:rPr>
          <w:b/>
          <w:lang w:val="it-IT"/>
        </w:rPr>
        <w:t>diagnosi</w:t>
      </w:r>
      <w:r>
        <w:rPr>
          <w:b/>
          <w:spacing w:val="21"/>
          <w:lang w:val="it-IT"/>
        </w:rPr>
        <w:t xml:space="preserve"> </w:t>
      </w:r>
      <w:r>
        <w:rPr>
          <w:b/>
          <w:lang w:val="it-IT"/>
        </w:rPr>
        <w:t>clinica,</w:t>
      </w:r>
      <w:r>
        <w:rPr>
          <w:b/>
          <w:spacing w:val="18"/>
          <w:lang w:val="it-IT"/>
        </w:rPr>
        <w:t xml:space="preserve"> </w:t>
      </w:r>
      <w:r>
        <w:rPr>
          <w:b/>
          <w:lang w:val="it-IT"/>
        </w:rPr>
        <w:t>pertanto</w:t>
      </w:r>
      <w:r>
        <w:rPr>
          <w:b/>
          <w:spacing w:val="21"/>
          <w:lang w:val="it-IT"/>
        </w:rPr>
        <w:t xml:space="preserve"> </w:t>
      </w:r>
      <w:r>
        <w:rPr>
          <w:b/>
          <w:lang w:val="it-IT"/>
        </w:rPr>
        <w:t>non</w:t>
      </w:r>
      <w:r>
        <w:rPr>
          <w:b/>
          <w:spacing w:val="18"/>
          <w:lang w:val="it-IT"/>
        </w:rPr>
        <w:t xml:space="preserve"> </w:t>
      </w:r>
      <w:r>
        <w:rPr>
          <w:b/>
          <w:lang w:val="it-IT"/>
        </w:rPr>
        <w:t>sostituisce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il</w:t>
      </w:r>
      <w:r>
        <w:rPr>
          <w:b/>
          <w:spacing w:val="19"/>
          <w:lang w:val="it-IT"/>
        </w:rPr>
        <w:t xml:space="preserve"> </w:t>
      </w:r>
      <w:r>
        <w:rPr>
          <w:b/>
          <w:spacing w:val="-1"/>
          <w:lang w:val="it-IT"/>
        </w:rPr>
        <w:t>parere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del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medico</w:t>
      </w:r>
      <w:r>
        <w:rPr>
          <w:spacing w:val="-1"/>
          <w:lang w:val="it-IT"/>
        </w:rPr>
        <w:t>.</w:t>
      </w:r>
      <w:r>
        <w:rPr>
          <w:spacing w:val="19"/>
          <w:lang w:val="it-IT"/>
        </w:rPr>
        <w:t xml:space="preserve"> </w:t>
      </w:r>
      <w:r>
        <w:rPr>
          <w:lang w:val="it-IT"/>
        </w:rPr>
        <w:t>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risultati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devono</w:t>
      </w:r>
      <w:r>
        <w:rPr>
          <w:spacing w:val="28"/>
          <w:w w:val="99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valutati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approvati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luce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storia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anamnestica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personale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su</w:t>
      </w:r>
      <w:r>
        <w:rPr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verifica</w:t>
      </w:r>
      <w:r>
        <w:rPr>
          <w:b/>
          <w:spacing w:val="-6"/>
          <w:lang w:val="it-IT"/>
        </w:rPr>
        <w:t xml:space="preserve"> </w:t>
      </w:r>
      <w:r>
        <w:rPr>
          <w:b/>
          <w:spacing w:val="-1"/>
          <w:lang w:val="it-IT"/>
        </w:rPr>
        <w:t>del</w:t>
      </w:r>
      <w:r>
        <w:rPr>
          <w:b/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medico</w:t>
      </w:r>
      <w:r>
        <w:rPr>
          <w:b/>
          <w:spacing w:val="-6"/>
          <w:lang w:val="it-IT"/>
        </w:rPr>
        <w:t xml:space="preserve"> </w:t>
      </w:r>
      <w:r>
        <w:rPr>
          <w:b/>
          <w:spacing w:val="-1"/>
          <w:lang w:val="it-IT"/>
        </w:rPr>
        <w:t>curante</w:t>
      </w:r>
      <w:r>
        <w:rPr>
          <w:spacing w:val="-1"/>
          <w:lang w:val="it-IT"/>
        </w:rPr>
        <w:t>.</w:t>
      </w:r>
    </w:p>
    <w:p>
      <w:pPr>
        <w:pStyle w:val="TextBody"/>
        <w:jc w:val="both"/>
        <w:rPr>
          <w:lang w:val="it-IT"/>
        </w:rPr>
      </w:pPr>
      <w:r>
        <w:rPr>
          <w:spacing w:val="-1"/>
          <w:lang w:val="it-IT"/>
        </w:rPr>
        <w:t>N.B.L'elenco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degli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alimenti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riportati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redatto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-7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agli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errori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metabolismo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individuati.</w:t>
      </w:r>
    </w:p>
    <w:p>
      <w:pPr>
        <w:pStyle w:val="Normal"/>
        <w:spacing w:before="5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Heading2"/>
        <w:jc w:val="both"/>
        <w:rPr>
          <w:b w:val="false"/>
          <w:b w:val="false"/>
          <w:bCs w:val="false"/>
          <w:lang w:val="it-IT"/>
        </w:rPr>
      </w:pPr>
      <w:r>
        <w:rPr>
          <w:spacing w:val="-1"/>
          <w:u w:val="single" w:color="000000"/>
          <w:lang w:val="it-IT"/>
        </w:rPr>
        <w:t>Il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test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effettuato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prende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considerazione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intolleranze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ma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non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allergie.</w:t>
      </w:r>
    </w:p>
    <w:p>
      <w:pPr>
        <w:pStyle w:val="Normal"/>
        <w:spacing w:before="2" w:after="0"/>
        <w:rPr>
          <w:rFonts w:ascii="Arial" w:hAnsi="Arial" w:eastAsia="Arial" w:cs="Arial"/>
          <w:b/>
          <w:b/>
          <w:bCs/>
          <w:sz w:val="13"/>
          <w:szCs w:val="13"/>
          <w:lang w:val="it-IT"/>
        </w:rPr>
      </w:pPr>
      <w:r>
        <w:rPr>
          <w:rFonts w:eastAsia="Arial" w:cs="Arial" w:ascii="Arial" w:hAnsi="Arial"/>
          <w:b/>
          <w:bCs/>
          <w:sz w:val="13"/>
          <w:szCs w:val="13"/>
          <w:lang w:val="it-IT"/>
        </w:rPr>
      </w:r>
    </w:p>
    <w:p>
      <w:pPr>
        <w:pStyle w:val="Normal"/>
        <w:spacing w:before="80" w:after="0"/>
        <w:ind w:left="108" w:hanging="0"/>
        <w:rPr>
          <w:rFonts w:ascii="Times New Roman" w:hAnsi="Times New Roman" w:eastAsia="Times New Roman" w:cs="Times New Roman"/>
          <w:sz w:val="16"/>
          <w:szCs w:val="16"/>
          <w:lang w:val="it-IT"/>
        </w:rPr>
      </w:pPr>
      <w:r>
        <w:rPr>
          <w:rFonts w:ascii="Times New Roman" w:hAnsi="Times New Roman"/>
          <w:b/>
          <w:i/>
          <w:spacing w:val="-1"/>
          <w:sz w:val="16"/>
          <w:lang w:val="it-IT"/>
        </w:rPr>
        <w:t>Bibliografia</w:t>
      </w:r>
    </w:p>
    <w:p>
      <w:pPr>
        <w:pStyle w:val="Normal"/>
        <w:spacing w:lineRule="auto" w:line="276" w:before="1" w:after="0"/>
        <w:rPr>
          <w:rFonts w:ascii="Times New Roman" w:hAnsi="Times New Roman" w:eastAsia="Times New Roman" w:cs="Times New Roman"/>
          <w:b/>
          <w:b/>
          <w:bCs/>
          <w:i/>
          <w:i/>
          <w:sz w:val="20"/>
          <w:szCs w:val="20"/>
          <w:lang w:val="it-IT"/>
        </w:rPr>
      </w:pPr>
      <w:r>
        <w:rPr>
          <w:rFonts w:eastAsia="Times New Roman" w:cs="Times New Roman" w:ascii="Times New Roman" w:hAnsi="Times New Roman"/>
          <w:b/>
          <w:bCs/>
          <w:i/>
          <w:sz w:val="20"/>
          <w:szCs w:val="20"/>
          <w:lang w:val="it-IT"/>
        </w:rPr>
      </w:r>
    </w:p>
    <w:p>
      <w:pPr>
        <w:pStyle w:val="Normal"/>
        <w:spacing w:lineRule="auto" w:line="240"/>
        <w:ind w:left="108" w:right="423" w:hanging="0"/>
        <w:rPr>
          <w:sz w:val="16"/>
          <w:szCs w:val="16"/>
        </w:rPr>
      </w:pP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Liù</w:t>
      </w:r>
      <w:r>
        <w:rPr>
          <w:rFonts w:eastAsia="Times New Roman" w:cs="Times New Roman" w:ascii="Times New Roman" w:hAnsi="Times New Roman"/>
          <w:spacing w:val="1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CC,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Liu</w:t>
      </w:r>
      <w:r>
        <w:rPr>
          <w:rFonts w:eastAsia="Times New Roman" w:cs="Times New Roman" w:ascii="Times New Roman" w:hAnsi="Times New Roman"/>
          <w:spacing w:val="1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CC,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Kanekiyo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T,</w:t>
      </w:r>
      <w:r>
        <w:rPr>
          <w:rFonts w:eastAsia="Times New Roman" w:cs="Times New Roman" w:ascii="Times New Roman" w:hAnsi="Times New Roman"/>
          <w:spacing w:val="4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Xu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H,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it-IT"/>
        </w:rPr>
        <w:t>Bu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it-IT"/>
        </w:rPr>
        <w:t>G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(February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it-IT"/>
        </w:rPr>
        <w:t>2013).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"Apolipoprotein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E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and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Alzheimer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disease: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risk,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mechanisms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and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therapy".</w:t>
      </w:r>
      <w:r>
        <w:rPr>
          <w:rFonts w:eastAsia="Times New Roman" w:cs="Times New Roman"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Nature</w:t>
      </w:r>
      <w:r>
        <w:rPr>
          <w:rFonts w:eastAsia="Times New Roman" w:cs="Times New Roman" w:ascii="Times New Roman" w:hAnsi="Times New Roman"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Reviews.</w:t>
      </w:r>
      <w:r>
        <w:rPr>
          <w:rFonts w:eastAsia="Times New Roman" w:cs="Times New Roman" w:ascii="Times New Roman" w:hAnsi="Times New Roman"/>
          <w:spacing w:val="58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Neurology.9(2):</w:t>
      </w:r>
      <w:r>
        <w:rPr>
          <w:rFonts w:eastAsia="Times New Roman" w:cs="Times New Roman" w:ascii="Times New Roman" w:hAnsi="Times New Roman"/>
          <w:spacing w:val="17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106–18.</w:t>
      </w:r>
    </w:p>
    <w:p>
      <w:pPr>
        <w:pStyle w:val="Normal"/>
        <w:spacing w:lineRule="auto" w:line="240"/>
        <w:ind w:left="108" w:right="423" w:hanging="0"/>
        <w:rPr>
          <w:sz w:val="16"/>
          <w:szCs w:val="16"/>
        </w:rPr>
      </w:pP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 xml:space="preserve"> </w:t>
      </w:r>
    </w:p>
    <w:p>
      <w:pPr>
        <w:pStyle w:val="Normal"/>
        <w:spacing w:lineRule="auto" w:line="240" w:before="46" w:after="0"/>
        <w:ind w:left="108" w:right="270" w:hanging="0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Dana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Simona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Chita,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2"/>
          <w:sz w:val="16"/>
          <w:szCs w:val="16"/>
        </w:rPr>
        <w:t>Anca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Tudor,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Ruxandra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Christodorescu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 xml:space="preserve">al </w:t>
      </w:r>
      <w:r>
        <w:rPr>
          <w:rFonts w:ascii="Times New Roman" w:hAnsi="Times New Roman"/>
          <w:i/>
          <w:spacing w:val="-1"/>
          <w:sz w:val="16"/>
          <w:szCs w:val="16"/>
        </w:rPr>
        <w:t>MTHFR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Gene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Polymorphisms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Prevalence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and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Cardiovascular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Risk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Factors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Involved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</w:t>
      </w:r>
      <w:r>
        <w:rPr>
          <w:rFonts w:ascii="Times New Roman" w:hAnsi="Times New Roman"/>
          <w:i/>
          <w:spacing w:val="82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Cardioembolic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Stroke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Type</w:t>
      </w:r>
      <w:r>
        <w:rPr>
          <w:rFonts w:ascii="Times New Roman" w:hAnsi="Times New Roman"/>
          <w:i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and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 xml:space="preserve">Severity. </w:t>
      </w:r>
      <w:r>
        <w:rPr>
          <w:rFonts w:ascii="Times New Roman" w:hAnsi="Times New Roman"/>
          <w:spacing w:val="-1"/>
          <w:sz w:val="16"/>
          <w:szCs w:val="16"/>
        </w:rPr>
        <w:t>Brain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Sci.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2020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Aug;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10(8):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476.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left="108" w:right="171" w:hanging="0"/>
        <w:rPr>
          <w:sz w:val="16"/>
          <w:szCs w:val="16"/>
        </w:rPr>
      </w:pP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A.Georgopoulos,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H.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Bloomfield,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D.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Collins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et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al.,</w:t>
      </w:r>
      <w:r>
        <w:rPr>
          <w:rFonts w:eastAsia="Times New Roman" w:cs="Times New Roman" w:ascii="Times New Roman" w:hAnsi="Times New Roman"/>
          <w:spacing w:val="-2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“Codon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54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polymorphism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of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fatty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acid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binding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protein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(FABP)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2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gene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is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associated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with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increased</w:t>
      </w:r>
      <w:r>
        <w:rPr>
          <w:rFonts w:eastAsia="Times New Roman" w:cs="Times New Roman" w:ascii="Times New Roman" w:hAnsi="Times New Roman"/>
          <w:i/>
          <w:spacing w:val="40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cardiovascular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risk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dyslipidemic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diabetic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participants</w:t>
      </w:r>
      <w:r>
        <w:rPr>
          <w:rFonts w:eastAsia="Times New Roman" w:cs="Times New Roman"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of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Veterans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Affairs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HDL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intervention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trial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(VA-HIT),”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Atherosclerosis,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vol.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194,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no.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1,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pp.</w:t>
      </w:r>
      <w:r>
        <w:rPr>
          <w:rFonts w:eastAsia="Times New Roman" w:cs="Times New Roman" w:ascii="Times New Roman" w:hAnsi="Times New Roman"/>
          <w:spacing w:val="59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169–174,</w:t>
      </w:r>
      <w:r>
        <w:rPr>
          <w:rFonts w:eastAsia="Times New Roman" w:cs="Times New Roman" w:ascii="Times New Roman" w:hAnsi="Times New Roman"/>
          <w:spacing w:val="1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2007.</w:t>
      </w:r>
    </w:p>
    <w:p>
      <w:pPr>
        <w:pStyle w:val="Normal"/>
        <w:spacing w:lineRule="auto" w:line="240" w:before="8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left="108" w:right="171" w:hanging="0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Chun-Jian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Qiu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,</w:t>
      </w:r>
      <w:r>
        <w:rPr>
          <w:rFonts w:ascii="Times New Roman" w:hAnsi="Times New Roman"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Xiao-Zheng</w:t>
      </w:r>
      <w:r>
        <w:rPr>
          <w:rFonts w:ascii="Times New Roman" w:hAnsi="Times New Roman"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Ye,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Xiao-Juan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Yu,</w:t>
      </w:r>
      <w:r>
        <w:rPr>
          <w:rFonts w:ascii="Times New Roman" w:hAnsi="Times New Roman"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Xiao-Ren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Peng,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Tong-Huan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Li.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Association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between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FABP2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Ala54Thr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polymorphisms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type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2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diabetes</w:t>
      </w:r>
      <w:r>
        <w:rPr>
          <w:rFonts w:ascii="Times New Roman" w:hAnsi="Times New Roman"/>
          <w:i/>
          <w:spacing w:val="42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mellitus</w:t>
      </w:r>
      <w:r>
        <w:rPr>
          <w:rFonts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risk:</w:t>
      </w:r>
      <w:r>
        <w:rPr>
          <w:rFonts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HuGE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Review</w:t>
      </w:r>
      <w:r>
        <w:rPr>
          <w:rFonts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and</w:t>
      </w:r>
      <w:r>
        <w:rPr>
          <w:rFonts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 xml:space="preserve">Meta-Analysis </w:t>
      </w:r>
      <w:r>
        <w:rPr>
          <w:rFonts w:ascii="Times New Roman" w:hAnsi="Times New Roman"/>
          <w:sz w:val="16"/>
          <w:szCs w:val="16"/>
        </w:rPr>
        <w:t>J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Cell</w:t>
      </w:r>
      <w:r>
        <w:rPr>
          <w:rFonts w:ascii="Times New Roman" w:hAnsi="Times New Roman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Mol</w:t>
      </w:r>
      <w:r>
        <w:rPr>
          <w:rFonts w:ascii="Times New Roman" w:hAnsi="Times New Roman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Med.</w:t>
      </w:r>
      <w:r>
        <w:rPr>
          <w:rFonts w:ascii="Times New Roman" w:hAnsi="Times New Roman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2014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2"/>
          <w:sz w:val="16"/>
          <w:szCs w:val="16"/>
        </w:rPr>
        <w:t>Dec;18(12):2530-5.</w:t>
      </w:r>
    </w:p>
    <w:p>
      <w:pPr>
        <w:pStyle w:val="Normal"/>
        <w:spacing w:lineRule="auto" w:line="240" w:before="7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left="108" w:right="171" w:hanging="0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Dayana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Rodrigues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Farias,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Nadya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Helena</w:t>
      </w:r>
      <w:r>
        <w:rPr>
          <w:rFonts w:ascii="Times New Roman" w:hAnsi="Times New Roman"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Alves-Santos,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Ilana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Eshriqui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al.</w:t>
      </w:r>
      <w:r>
        <w:rPr>
          <w:rFonts w:ascii="Times New Roman" w:hAnsi="Times New Roman"/>
          <w:spacing w:val="-2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Leptin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gene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polymorphism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(rs7799039;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G2548A)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is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associated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with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changes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</w:t>
      </w:r>
      <w:r>
        <w:rPr>
          <w:rFonts w:ascii="Times New Roman" w:hAnsi="Times New Roman"/>
          <w:i/>
          <w:spacing w:val="62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serum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lipid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concentrations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during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pregnancy: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prospective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cohort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study.</w:t>
      </w:r>
      <w:r>
        <w:rPr>
          <w:rFonts w:ascii="Times New Roman" w:hAnsi="Times New Roman"/>
          <w:i/>
          <w:spacing w:val="-2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Eur</w:t>
      </w:r>
      <w:r>
        <w:rPr>
          <w:rFonts w:ascii="Times New Roman" w:hAnsi="Times New Roman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J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Nutr.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2020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Aug;59(5):1999-2009.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left="108" w:right="270" w:hanging="0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Crider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(2011).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MTHFR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677C-&gt;T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genotype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associated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with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folate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homocysteine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concentrations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large,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population-based,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double-blind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trial</w:t>
      </w:r>
      <w:r>
        <w:rPr>
          <w:rFonts w:ascii="Times New Roman" w:hAnsi="Times New Roman"/>
          <w:i/>
          <w:spacing w:val="3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of</w:t>
      </w:r>
      <w:r>
        <w:rPr>
          <w:rFonts w:ascii="Times New Roman" w:hAnsi="Times New Roman"/>
          <w:i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folic</w:t>
      </w:r>
      <w:r>
        <w:rPr>
          <w:rFonts w:ascii="Times New Roman" w:hAnsi="Times New Roman"/>
          <w:i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acid</w:t>
      </w:r>
      <w:r>
        <w:rPr>
          <w:rFonts w:ascii="Times New Roman" w:hAnsi="Times New Roman"/>
          <w:i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supplementation.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Am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J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Clin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Nutr.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93(6):1365-1372.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left="108" w:right="171" w:hanging="0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Chibo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Liu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,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Sihua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Mou,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Chunqin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 xml:space="preserve">Pan. </w:t>
      </w:r>
      <w:r>
        <w:rPr>
          <w:rFonts w:ascii="Times New Roman" w:hAnsi="Times New Roman"/>
          <w:i/>
          <w:spacing w:val="-1"/>
          <w:sz w:val="16"/>
          <w:szCs w:val="16"/>
        </w:rPr>
        <w:t>The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FTO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gene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rs9939609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polymorphism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predicts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risk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of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cardiovascular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disease: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systematic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review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and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meta-</w:t>
      </w:r>
      <w:r>
        <w:rPr>
          <w:rFonts w:ascii="Times New Roman" w:hAnsi="Times New Roman"/>
          <w:i/>
          <w:spacing w:val="47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analysis.</w:t>
      </w:r>
      <w:r>
        <w:rPr>
          <w:rFonts w:ascii="Times New Roman" w:hAnsi="Times New Roman"/>
          <w:i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PLoS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One.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2013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Aug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19;8(8):e71901.</w:t>
      </w:r>
    </w:p>
    <w:p>
      <w:pPr>
        <w:pStyle w:val="Normal"/>
        <w:spacing w:lineRule="auto" w:line="240" w:before="2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left="108" w:hanging="0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Warodomwichit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et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(2009).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ADIPOQ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polymorphisms,</w:t>
      </w:r>
      <w:r>
        <w:rPr>
          <w:rFonts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monounsaturated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fatty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acids,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and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obesity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risk: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the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GOLDN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 xml:space="preserve">study. </w:t>
      </w:r>
      <w:r>
        <w:rPr>
          <w:rFonts w:ascii="Times New Roman" w:hAnsi="Times New Roman"/>
          <w:spacing w:val="-1"/>
          <w:sz w:val="16"/>
          <w:szCs w:val="16"/>
        </w:rPr>
        <w:t>Obesity</w:t>
      </w:r>
      <w:r>
        <w:rPr>
          <w:rFonts w:ascii="Times New Roman" w:hAnsi="Times New Roman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17(3):</w:t>
      </w:r>
      <w:r>
        <w:rPr>
          <w:rFonts w:ascii="Times New Roman" w:hAnsi="Times New Roman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510-517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left="108" w:right="171" w:hanging="0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Hivert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 xml:space="preserve">(2008). </w:t>
      </w:r>
      <w:r>
        <w:rPr>
          <w:rFonts w:ascii="Times New Roman" w:hAnsi="Times New Roman"/>
          <w:i/>
          <w:spacing w:val="-1"/>
          <w:sz w:val="16"/>
          <w:szCs w:val="16"/>
        </w:rPr>
        <w:t>Common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variants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the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adiponectin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gene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(ADIPOQ)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associated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with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plasma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adiponectin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levels,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type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2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diabetes,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and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diabetes-related</w:t>
      </w:r>
      <w:r>
        <w:rPr>
          <w:rFonts w:ascii="Times New Roman" w:hAnsi="Times New Roman"/>
          <w:i/>
          <w:spacing w:val="72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quantitative</w:t>
      </w:r>
      <w:r>
        <w:rPr>
          <w:rFonts w:ascii="Times New Roman" w:hAnsi="Times New Roman"/>
          <w:i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traits: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the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Framingham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Offspring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Study.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Diabetes</w:t>
      </w:r>
      <w:r>
        <w:rPr>
          <w:rFonts w:ascii="Times New Roman" w:hAnsi="Times New Roman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57(12):</w:t>
      </w:r>
      <w:r>
        <w:rPr>
          <w:rFonts w:ascii="Times New Roman" w:hAnsi="Times New Roman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3353-3359</w:t>
      </w:r>
    </w:p>
    <w:p>
      <w:pPr>
        <w:pStyle w:val="Normal"/>
        <w:spacing w:lineRule="auto" w:line="240" w:before="3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left="108" w:hanging="0"/>
        <w:rPr>
          <w:sz w:val="16"/>
          <w:szCs w:val="16"/>
        </w:rPr>
      </w:pPr>
      <w:r>
        <w:rPr>
          <w:rFonts w:ascii="Times New Roman" w:hAnsi="Times New Roman"/>
          <w:color w:val="202020"/>
          <w:spacing w:val="-1"/>
          <w:sz w:val="16"/>
          <w:szCs w:val="16"/>
        </w:rPr>
        <w:t>Mahley</w:t>
      </w:r>
      <w:r>
        <w:rPr>
          <w:rFonts w:ascii="Times New Roman" w:hAnsi="Times New Roman"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RW.</w:t>
      </w:r>
      <w:r>
        <w:rPr>
          <w:rFonts w:ascii="Times New Roman" w:hAnsi="Times New Roman"/>
          <w:color w:val="202020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Apolipoprotein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E: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from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cardiovascular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disease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to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neurodegenerative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disorders.</w:t>
      </w:r>
      <w:r>
        <w:rPr>
          <w:rFonts w:ascii="Times New Roman" w:hAnsi="Times New Roman"/>
          <w:i/>
          <w:color w:val="202020"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J</w:t>
      </w:r>
      <w:r>
        <w:rPr>
          <w:rFonts w:ascii="Times New Roman" w:hAnsi="Times New Roman"/>
          <w:color w:val="202020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Mol</w:t>
      </w:r>
      <w:r>
        <w:rPr>
          <w:rFonts w:ascii="Times New Roman" w:hAnsi="Times New Roman"/>
          <w:color w:val="202020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Med</w:t>
      </w:r>
      <w:r>
        <w:rPr>
          <w:rFonts w:ascii="Times New Roman" w:hAnsi="Times New Roman"/>
          <w:color w:val="202020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(Berl).</w:t>
      </w:r>
      <w:r>
        <w:rPr>
          <w:rFonts w:ascii="Times New Roman" w:hAnsi="Times New Roman"/>
          <w:color w:val="202020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2016</w:t>
      </w:r>
      <w:r>
        <w:rPr>
          <w:rFonts w:ascii="Times New Roman" w:hAnsi="Times New Roman"/>
          <w:color w:val="202020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Jul;94(7):739-46.</w:t>
      </w:r>
    </w:p>
    <w:p>
      <w:pPr>
        <w:pStyle w:val="Normal"/>
        <w:spacing w:lineRule="auto" w:line="240" w:before="10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left="108" w:right="171" w:hanging="0"/>
        <w:rPr>
          <w:sz w:val="16"/>
          <w:szCs w:val="16"/>
        </w:rPr>
      </w:pPr>
      <w:r>
        <w:rPr>
          <w:rFonts w:ascii="Times New Roman" w:hAnsi="Times New Roman"/>
          <w:color w:val="202020"/>
          <w:spacing w:val="-1"/>
          <w:sz w:val="16"/>
          <w:szCs w:val="16"/>
        </w:rPr>
        <w:t>Iwai</w:t>
      </w:r>
      <w:r>
        <w:rPr>
          <w:rFonts w:ascii="Times New Roman" w:hAnsi="Times New Roman"/>
          <w:color w:val="202020"/>
          <w:spacing w:val="1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C,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Akita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H,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Kanazawa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K,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Shiga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N,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Terashima</w:t>
      </w:r>
      <w:r>
        <w:rPr>
          <w:rFonts w:ascii="Times New Roman" w:hAnsi="Times New Roman"/>
          <w:color w:val="202020"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M,</w:t>
      </w:r>
      <w:r>
        <w:rPr>
          <w:rFonts w:ascii="Times New Roman" w:hAnsi="Times New Roman"/>
          <w:color w:val="202020"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Matsuda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Y,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Takai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E,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Miyamoto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Y,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Shimizu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M,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Kajiya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T,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Hayashi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T,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Yokoyama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M.</w:t>
      </w:r>
      <w:r>
        <w:rPr>
          <w:rFonts w:ascii="Times New Roman" w:hAnsi="Times New Roman"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Arg389Gly</w:t>
      </w:r>
      <w:r>
        <w:rPr>
          <w:rFonts w:ascii="Times New Roman" w:hAnsi="Times New Roman"/>
          <w:i/>
          <w:color w:val="202020"/>
          <w:spacing w:val="91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polymorphism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of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the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human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beta1-adrenergic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receptor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in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patients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with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nonfatal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acute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myocardial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 xml:space="preserve">infarction.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Am</w:t>
      </w:r>
      <w:r>
        <w:rPr>
          <w:rFonts w:ascii="Times New Roman" w:hAnsi="Times New Roman"/>
          <w:color w:val="202020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Heart</w:t>
      </w:r>
      <w:r>
        <w:rPr>
          <w:rFonts w:ascii="Times New Roman" w:hAnsi="Times New Roman"/>
          <w:color w:val="202020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J.</w:t>
      </w:r>
      <w:r>
        <w:rPr>
          <w:rFonts w:ascii="Times New Roman" w:hAnsi="Times New Roman"/>
          <w:color w:val="202020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2003</w:t>
      </w:r>
      <w:r>
        <w:rPr>
          <w:rFonts w:ascii="Times New Roman" w:hAnsi="Times New Roman"/>
          <w:color w:val="202020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2"/>
          <w:sz w:val="16"/>
          <w:szCs w:val="16"/>
        </w:rPr>
        <w:t>Jul;146(1):106-9.</w:t>
      </w:r>
    </w:p>
    <w:p>
      <w:pPr>
        <w:pStyle w:val="Normal"/>
        <w:spacing w:lineRule="auto" w:line="240" w:before="4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left="108" w:right="171" w:hanging="0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Willer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(2009).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Six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new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loci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associated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with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body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mass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index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highlight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neuronal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influence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on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body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weight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regulation.</w:t>
      </w:r>
      <w:r>
        <w:rPr>
          <w:rFonts w:ascii="Times New Roman" w:hAnsi="Times New Roman"/>
          <w:i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Nat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Genet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41(1):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25-34</w:t>
      </w:r>
      <w:r>
        <w:rPr>
          <w:rFonts w:ascii="Times New Roman" w:hAnsi="Times New Roman"/>
          <w:spacing w:val="50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Benyamin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al.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(2009).</w:t>
      </w:r>
      <w:r>
        <w:rPr>
          <w:rFonts w:ascii="Times New Roman" w:hAnsi="Times New Roman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Variants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in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TF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and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HFE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explain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approximately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40%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of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genetic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variation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serum-transferrin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levels.</w:t>
      </w:r>
      <w:r>
        <w:rPr>
          <w:rFonts w:ascii="Times New Roman" w:hAnsi="Times New Roman"/>
          <w:i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Am</w:t>
      </w:r>
      <w:r>
        <w:rPr>
          <w:rFonts w:ascii="Times New Roman" w:hAnsi="Times New Roman"/>
          <w:spacing w:val="1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J</w:t>
      </w:r>
      <w:r>
        <w:rPr>
          <w:rFonts w:ascii="Times New Roman" w:hAnsi="Times New Roman"/>
          <w:spacing w:val="1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Hum</w:t>
      </w:r>
      <w:r>
        <w:rPr>
          <w:rFonts w:ascii="Times New Roman" w:hAnsi="Times New Roman"/>
          <w:spacing w:val="1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Genet</w:t>
      </w:r>
      <w:r>
        <w:rPr>
          <w:rFonts w:ascii="Times New Roman" w:hAnsi="Times New Roman"/>
          <w:spacing w:val="1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84(1):</w:t>
      </w:r>
      <w:r>
        <w:rPr>
          <w:rFonts w:ascii="Times New Roman" w:hAnsi="Times New Roman"/>
          <w:spacing w:val="1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60-65</w:t>
      </w:r>
    </w:p>
    <w:p>
      <w:pPr>
        <w:pStyle w:val="Normal"/>
        <w:spacing w:lineRule="auto" w:line="240" w:before="42" w:after="0"/>
        <w:ind w:left="108" w:right="270" w:hanging="0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 xml:space="preserve"> </w:t>
      </w:r>
    </w:p>
    <w:p>
      <w:pPr>
        <w:pStyle w:val="Normal"/>
        <w:spacing w:lineRule="auto" w:line="240" w:before="42" w:after="0"/>
        <w:ind w:left="108" w:right="270" w:hanging="0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Keen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(1999).</w:t>
      </w:r>
      <w:r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Association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of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polymorphism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at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the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type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I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collagen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(COL1A1)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locus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with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reduced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bone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mineral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density,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increased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fracture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risk,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and</w:t>
      </w:r>
      <w:r>
        <w:rPr>
          <w:rFonts w:ascii="Times New Roman" w:hAnsi="Times New Roman"/>
          <w:i/>
          <w:spacing w:val="47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increased</w:t>
      </w:r>
      <w:r>
        <w:rPr>
          <w:rFonts w:ascii="Times New Roman" w:hAnsi="Times New Roman"/>
          <w:i/>
          <w:spacing w:val="11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collagen</w:t>
      </w:r>
      <w:r>
        <w:rPr>
          <w:rFonts w:ascii="Times New Roman" w:hAnsi="Times New Roman"/>
          <w:i/>
          <w:spacing w:val="11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turnover.</w:t>
      </w:r>
      <w:r>
        <w:rPr>
          <w:rFonts w:ascii="Times New Roman" w:hAnsi="Times New Roman"/>
          <w:i/>
          <w:spacing w:val="-2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Arthritis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Rheum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42(2):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285-290</w:t>
      </w:r>
      <w:r>
        <w:br w:type="page"/>
      </w:r>
    </w:p>
    <w:p>
      <w:pPr>
        <w:pStyle w:val="Normal"/>
        <w:spacing w:lineRule="auto" w:line="240" w:before="42" w:after="0"/>
        <w:ind w:left="108" w:right="270" w:hanging="0"/>
        <w:rPr/>
      </w:pPr>
      <w:r>
        <w:rPr/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740" w:right="740" w:gutter="0" w:header="518" w:top="2048" w:footer="207" w:bottom="40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Arial">
    <w:charset w:val="01"/>
    <w:family w:val="roman"/>
    <w:pitch w:val="default"/>
  </w:font>
  <w:font w:name="Cambria"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>
        <w:trHeight w:val="273" w:hRule="atLeast"/>
      </w:trPr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footernote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7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>
        <w:trHeight w:val="273" w:hRule="atLeast"/>
      </w:trPr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footernote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7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</w:hdr>
</file>

<file path=word/settings.xml><?xml version="1.0" encoding="utf-8"?>
<w:settings xmlns:w="http://schemas.openxmlformats.org/wordprocessingml/2006/main">
  <w:zoom w:percent="85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360"/>
  <w:themeFontLang w:val="en-N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69" w:after="0"/>
      <w:outlineLvl w:val="0"/>
    </w:pPr>
    <w:rPr>
      <w:rFonts w:ascii="Arial" w:hAnsi="Arial" w:eastAsia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8" w:hanging="0"/>
      <w:outlineLvl w:val="1"/>
    </w:pPr>
    <w:rPr>
      <w:rFonts w:ascii="Arial" w:hAnsi="Arial" w:eastAsia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Titolo3Carattere"/>
    <w:uiPriority w:val="9"/>
    <w:semiHidden/>
    <w:unhideWhenUsed/>
    <w:qFormat/>
    <w:rsid w:val="006f7d9e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3Carattere" w:customStyle="1">
    <w:name w:val="Titolo 3 Carattere"/>
    <w:basedOn w:val="DefaultParagraphFont"/>
    <w:uiPriority w:val="9"/>
    <w:semiHidden/>
    <w:qFormat/>
    <w:rsid w:val="006f7d9e"/>
    <w:rPr>
      <w:rFonts w:ascii="Cambria" w:hAnsi="Cambria" w:eastAsia="" w:cs="" w:asciiTheme="majorHAnsi" w:cstheme="majorBidi" w:eastAsiaTheme="majorEastAsia" w:hAnsiTheme="majorHAnsi"/>
      <w:color w:val="243F60" w:themeColor="accent1" w:themeShade="7f"/>
      <w:sz w:val="24"/>
      <w:szCs w:val="24"/>
    </w:rPr>
  </w:style>
  <w:style w:type="character" w:styleId="IntestazioneCarattere" w:customStyle="1">
    <w:name w:val="Intestazione Carattere"/>
    <w:basedOn w:val="DefaultParagraphFont"/>
    <w:uiPriority w:val="99"/>
    <w:qFormat/>
    <w:rsid w:val="00603722"/>
    <w:rPr/>
  </w:style>
  <w:style w:type="character" w:styleId="PidipaginaCarattere" w:customStyle="1">
    <w:name w:val="Piè di pagina Carattere"/>
    <w:basedOn w:val="DefaultParagraphFont"/>
    <w:uiPriority w:val="99"/>
    <w:qFormat/>
    <w:rsid w:val="00603722"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108" w:hanging="0"/>
    </w:pPr>
    <w:rPr>
      <w:rFonts w:ascii="Arial" w:hAnsi="Arial" w:eastAsia="Arial"/>
      <w:sz w:val="20"/>
      <w:szCs w:val="20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  <w:lang w:val="zxx" w:eastAsia="zxx" w:bidi="zxx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603722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PidipaginaCarattere"/>
    <w:uiPriority w:val="99"/>
    <w:unhideWhenUsed/>
    <w:rsid w:val="00603722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gliatabella">
    <w:name w:val="Table Grid"/>
    <w:basedOn w:val="Tabellanormale"/>
    <w:uiPriority w:val="39"/>
    <w:rsid w:val="00dc229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Application>LibreOffice/7.3.7.2$Linux_X86_64 LibreOffice_project/30$Build-2</Application>
  <AppVersion>15.0000</AppVersion>
  <Pages>7</Pages>
  <Words>961</Words>
  <Characters>6104</Characters>
  <CharactersWithSpaces>6978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2021-09-29T12:14:00Z</dcterms:created>
  <dc:creator>Alessandra</dc:creator>
  <dc:description/>
  <dc:language>en-US</dc:language>
  <cp:lastModifiedBy/>
  <dcterms:modified xsi:type="dcterms:W3CDTF">2024-11-04T12:04:09Z</dcterms:modified>
  <cp:revision>46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2021-09-29T00:00:00Z</vt:filetime>
  </property>
  <property fmtid="{D5CDD505-2E9C-101B-9397-08002B2CF9AE}" pid="3" name="LastSaved">
    <vt:filetime>2021-09-29T00:00:00Z</vt:filetime>
  </property>
</Properties>
</file>