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125" w:hanging="0"/>
        <w:jc w:val="center"/>
        <w:rPr>
          <w:rFonts w:eastAsia="Calibri" w:cs="Calibri"/>
          <w:b/>
          <w:b/>
          <w:color w:val="82CBD9"/>
          <w:spacing w:val="-1"/>
          <w:sz w:val="36"/>
          <w:szCs w:val="36"/>
        </w:rPr>
      </w:pPr>
      <w:r>
        <w:rPr>
          <w:rFonts w:eastAsia="Calibri" w:cs="Calibri"/>
          <w:b/>
          <w:color w:val="82CBD9"/>
          <w:spacing w:val="-1"/>
          <w:sz w:val="36"/>
          <w:szCs w:val="36"/>
        </w:rPr>
        <mc:AlternateContent>
          <mc:Choice Requires="wps">
            <w:drawing>
              <wp:anchor behindDoc="0" distT="635" distB="635" distL="1270" distR="0" simplePos="0" locked="0" layoutInCell="0" allowOverlap="1" relativeHeight="4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1455" cy="116840"/>
                <wp:effectExtent l="1270" t="635" r="0" b="635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360" cy="117000"/>
                        </a:xfrm>
                        <a:prstGeom prst="rect">
                          <a:avLst/>
                        </a:prstGeom>
                        <a:solidFill>
                          <a:srgbClr val="83cddb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83cddb" stroked="t" o:allowincell="f" style="position:absolute;margin-left:2.4pt;margin-top:4.05pt;width:516.6pt;height:9.15pt;mso-wrap-style:none;v-text-anchor:middle">
                <v:fill o:detectmouseclick="t" type="solid" color2="#7c3224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ind w:left="125" w:hanging="0"/>
        <w:jc w:val="center"/>
        <w:rPr/>
      </w:pPr>
      <w:r>
        <w:rPr>
          <w:rFonts w:eastAsia="Calibri" w:cs="Calibri"/>
          <w:b/>
          <w:color w:val="82CBD9"/>
          <w:spacing w:val="-1"/>
          <w:sz w:val="36"/>
          <w:szCs w:val="36"/>
        </w:rPr>
        <w:t>test_title</w:t>
      </w:r>
    </w:p>
    <w:p>
      <w:pPr>
        <w:pStyle w:val="Normal"/>
        <w:spacing w:lineRule="atLeast" w:line="190"/>
        <w:ind w:left="124" w:hanging="0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635" distB="635" distL="1270" distR="0" simplePos="0" locked="0" layoutInCell="0" allowOverlap="1" relativeHeight="5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1455" cy="116840"/>
                <wp:effectExtent l="1270" t="635" r="0" b="635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360" cy="117000"/>
                        </a:xfrm>
                        <a:prstGeom prst="rect">
                          <a:avLst/>
                        </a:prstGeom>
                        <a:solidFill>
                          <a:srgbClr val="83cddb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83cddb" stroked="t" o:allowincell="f" style="position:absolute;margin-left:2.4pt;margin-top:4.05pt;width:516.6pt;height:9.15pt;mso-wrap-style:none;v-text-anchor:middle">
                <v:fill o:detectmouseclick="t" type="solid" color2="#7c3224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tLeast" w:line="190"/>
        <w:ind w:left="124" w:hanging="0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</w:r>
    </w:p>
    <w:p>
      <w:pPr>
        <w:pStyle w:val="Normal"/>
        <w:spacing w:lineRule="exact" w:line="349"/>
        <w:ind w:left="108" w:hanging="0"/>
        <w:rPr>
          <w:rFonts w:ascii="Arial" w:hAnsi="Arial"/>
          <w:b/>
          <w:b/>
          <w:spacing w:val="-1"/>
          <w:sz w:val="32"/>
          <w:szCs w:val="24"/>
        </w:rPr>
      </w:pPr>
      <w:r>
        <w:rPr>
          <w:rFonts w:eastAsia="Calibri" w:cs="" w:ascii="Arial" w:hAnsi="Arial" w:cstheme="minorBidi" w:eastAsiaTheme="minorHAnsi"/>
          <w:b/>
          <w:color w:val="auto"/>
          <w:spacing w:val="-1"/>
          <w:kern w:val="0"/>
          <w:sz w:val="32"/>
          <w:szCs w:val="22"/>
          <w:lang w:val="en-US" w:eastAsia="en-US" w:bidi="ar-SA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  <w:br/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1"/>
        <w:gridCol w:w="3237"/>
        <w:gridCol w:w="3612"/>
      </w:tblGrid>
      <w:tr>
        <w:trPr>
          <w:trHeight w:val="787" w:hRule="atLeast"/>
        </w:trPr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1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1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1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before="72" w:after="0"/>
        <w:ind w:left="1682" w:hanging="0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br/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right="65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82CBD9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82CBD9"/>
                <w:kern w:val="0"/>
                <w:sz w:val="24"/>
                <w:szCs w:val="24"/>
                <w:lang w:val="it-IT" w:eastAsia="en-US" w:bidi="ar-SA"/>
              </w:rPr>
              <w:t>ATTIVIT</w:t>
            </w:r>
            <w:r>
              <w:rPr>
                <w:rFonts w:ascii="Arial" w:hAnsi="Arial"/>
                <w:b/>
                <w:color w:val="82CBD9"/>
                <w:spacing w:val="-1"/>
                <w:kern w:val="0"/>
                <w:sz w:val="24"/>
                <w:szCs w:val="24"/>
                <w:lang w:val="en-US" w:eastAsia="en-US" w:bidi="ar-SA"/>
              </w:rPr>
              <w:t>À SPORTIVE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82CB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&lt;testo_sport&gt;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4998085</wp:posOffset>
            </wp:positionH>
            <wp:positionV relativeFrom="paragraph">
              <wp:posOffset>132715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 w:before="11" w:after="0"/>
        <w:ind w:left="124" w:hanging="0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570230"/>
            <wp:effectExtent l="0" t="0" r="0" b="0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12" w:after="0"/>
        <w:ind w:left="108" w:right="116" w:hanging="0"/>
        <w:rPr>
          <w:rFonts w:ascii="Calibri" w:hAnsi="Calibri" w:eastAsia="Calibri" w:cs="Calibri"/>
          <w:lang w:val="it-IT"/>
        </w:rPr>
      </w:pPr>
      <w:r>
        <w:rPr>
          <w:rFonts w:eastAsia="Calibri" w:cs="Calibri"/>
          <w:lang w:val="it-IT"/>
        </w:rPr>
      </w:r>
    </w:p>
    <w:p>
      <w:pPr>
        <w:pStyle w:val="Normal"/>
        <w:spacing w:lineRule="auto" w:line="276" w:before="12" w:after="0"/>
        <w:ind w:left="108" w:right="116" w:hanging="0"/>
        <w:rPr>
          <w:rFonts w:ascii="Calibri" w:hAnsi="Calibri" w:eastAsia="Calibri" w:cs="Calibri"/>
          <w:lang w:val="it-IT"/>
        </w:rPr>
      </w:pPr>
      <w:r>
        <w:rPr>
          <w:b/>
          <w:u w:val="single" w:color="000000"/>
          <w:lang w:val="it-IT"/>
        </w:rPr>
        <w:t>N.B.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La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sintesi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sopra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riportata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non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è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una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(le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cliniche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spettano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esclusivamente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al</w:t>
      </w:r>
      <w:r>
        <w:rPr>
          <w:b/>
          <w:spacing w:val="4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medico).</w:t>
      </w:r>
      <w:r>
        <w:br w:type="page"/>
      </w:r>
    </w:p>
    <w:p>
      <w:pPr>
        <w:pStyle w:val="Normal"/>
        <w:spacing w:before="0" w:after="0"/>
        <w:rPr>
          <w:rFonts w:ascii="Calibri" w:hAnsi="Calibri" w:eastAsia="Calibri" w:cs="Calibri"/>
          <w:b/>
          <w:b/>
          <w:bCs/>
          <w:sz w:val="18"/>
          <w:szCs w:val="18"/>
          <w:lang w:val="it-IT"/>
        </w:rPr>
      </w:pPr>
      <w:r>
        <w:rPr>
          <w:rFonts w:eastAsia="Calibri" w:cs="Calibri"/>
          <w:b/>
          <w:bCs/>
          <w:sz w:val="18"/>
          <w:szCs w:val="18"/>
          <w:lang w:val="it-IT"/>
        </w:rPr>
      </w:r>
    </w:p>
    <w:p>
      <w:pPr>
        <w:pStyle w:val="Heading1"/>
        <w:ind w:left="2000" w:hanging="0"/>
        <w:rPr>
          <w:b w:val="false"/>
          <w:b w:val="false"/>
          <w:bCs w:val="false"/>
          <w:color w:val="F79646" w:themeColor="accent6"/>
          <w:lang w:val="it-IT"/>
        </w:rPr>
      </w:pPr>
      <w:r>
        <w:rPr>
          <w:color w:val="F79646" w:themeColor="accent6"/>
          <w:spacing w:val="-1"/>
          <w:lang w:val="it-IT"/>
        </w:rPr>
        <w:t>PREDISPOSIZIONE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GENETICA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ALL'AUMENTO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DI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left="2130" w:hanging="0"/>
        <w:rPr>
          <w:b w:val="false"/>
          <w:b w:val="false"/>
          <w:bCs w:val="false"/>
          <w:color w:val="F79646" w:themeColor="accent6"/>
          <w:lang w:val="it-IT"/>
        </w:rPr>
      </w:pPr>
      <w:r>
        <w:rPr/>
      </w:r>
    </w:p>
    <w:p>
      <w:pPr>
        <w:pStyle w:val="Heading1"/>
        <w:spacing w:before="0" w:after="0"/>
        <w:ind w:left="2130" w:hanging="0"/>
        <w:rPr>
          <w:b w:val="false"/>
          <w:b w:val="false"/>
          <w:bCs w:val="false"/>
          <w:color w:val="F79646" w:themeColor="accent6"/>
          <w:lang w:val="it-IT"/>
        </w:rPr>
      </w:pPr>
      <w:r>
        <w:rPr>
          <w:color w:val="F79646" w:themeColor="accent6"/>
          <w:spacing w:val="-1"/>
          <w:lang w:val="it-IT"/>
        </w:rPr>
        <w:t>PREDISPOSIZIONE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GENETICA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AL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DIABETE</w:t>
      </w:r>
      <w:r>
        <w:rPr>
          <w:color w:val="F79646" w:themeColor="accent6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DI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TIPO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lang w:val="it-IT"/>
        </w:rPr>
        <w:t>2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right="119" w:hanging="0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</w:p>
        </w:tc>
      </w:tr>
    </w:tbl>
    <w:p>
      <w:pPr>
        <w:pStyle w:val="Normal"/>
        <w:spacing w:lineRule="atLeast" w:line="200"/>
        <w:ind w:left="125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left="1152" w:hanging="0"/>
        <w:rPr>
          <w:b w:val="false"/>
          <w:b w:val="false"/>
          <w:bCs w:val="false"/>
          <w:color w:val="F79646" w:themeColor="accent6"/>
        </w:rPr>
      </w:pPr>
      <w:r>
        <w:rPr/>
      </w:r>
    </w:p>
    <w:p>
      <w:pPr>
        <w:pStyle w:val="Heading1"/>
        <w:spacing w:before="0" w:after="0"/>
        <w:ind w:left="1152" w:hanging="0"/>
        <w:rPr>
          <w:b w:val="false"/>
          <w:b w:val="false"/>
          <w:bCs w:val="false"/>
          <w:color w:val="F79646" w:themeColor="accent6"/>
        </w:rPr>
      </w:pPr>
      <w:r>
        <w:rPr>
          <w:color w:val="F79646" w:themeColor="accent6"/>
          <w:spacing w:val="-1"/>
        </w:rPr>
        <w:t>PREDISPOSIZIONE</w:t>
      </w:r>
      <w:r>
        <w:rPr>
          <w:color w:val="F79646" w:themeColor="accent6"/>
          <w:spacing w:val="1"/>
        </w:rPr>
        <w:t xml:space="preserve"> </w:t>
      </w:r>
      <w:r>
        <w:rPr>
          <w:color w:val="F79646" w:themeColor="accent6"/>
          <w:spacing w:val="-1"/>
        </w:rPr>
        <w:t>GENETICA</w:t>
      </w:r>
      <w:r>
        <w:rPr>
          <w:color w:val="F79646" w:themeColor="accent6"/>
          <w:spacing w:val="1"/>
        </w:rPr>
        <w:t xml:space="preserve"> </w:t>
      </w:r>
      <w:r>
        <w:rPr>
          <w:color w:val="F79646" w:themeColor="accent6"/>
          <w:spacing w:val="-1"/>
        </w:rPr>
        <w:t>ALLE</w:t>
      </w:r>
      <w:r>
        <w:rPr>
          <w:color w:val="F79646" w:themeColor="accent6"/>
          <w:spacing w:val="1"/>
        </w:rPr>
        <w:t xml:space="preserve"> </w:t>
      </w:r>
      <w:r>
        <w:rPr>
          <w:color w:val="F79646" w:themeColor="accent6"/>
          <w:spacing w:val="-1"/>
        </w:rPr>
        <w:t>PATOLOGIE</w:t>
      </w:r>
      <w:r>
        <w:rPr>
          <w:color w:val="F79646" w:themeColor="accent6"/>
          <w:spacing w:val="2"/>
        </w:rPr>
        <w:t xml:space="preserve"> </w:t>
      </w:r>
      <w:r>
        <w:rPr>
          <w:color w:val="F79646" w:themeColor="accent6"/>
          <w:spacing w:val="-1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1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</w:p>
        </w:tc>
      </w:tr>
    </w:tbl>
    <w:p>
      <w:pPr>
        <w:pStyle w:val="Normal"/>
        <w:spacing w:lineRule="atLeast" w:line="200"/>
        <w:ind w:left="125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1"/>
        <w:gridCol w:w="2272"/>
        <w:gridCol w:w="3860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53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6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7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6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tbl>
      <w:tblPr>
        <w:tblStyle w:val="Grigliatabella"/>
        <w:tblW w:w="10526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51"/>
        <w:gridCol w:w="2611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8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Heading1"/>
        <w:spacing w:before="0" w:after="0"/>
        <w:ind w:left="2147" w:hanging="0"/>
        <w:rPr>
          <w:b w:val="false"/>
          <w:b w:val="false"/>
          <w:bCs w:val="false"/>
          <w:color w:val="92D050"/>
        </w:rPr>
      </w:pPr>
      <w:r>
        <w:rPr/>
      </w:r>
    </w:p>
    <w:p>
      <w:pPr>
        <w:pStyle w:val="Heading1"/>
        <w:spacing w:before="0" w:after="0"/>
        <w:ind w:left="2147" w:hanging="0"/>
        <w:rPr>
          <w:b w:val="false"/>
          <w:b w:val="false"/>
          <w:bCs w:val="false"/>
          <w:color w:val="92D050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rPr>
          <w:b w:val="false"/>
          <w:b w:val="false"/>
          <w:bCs w:val="false"/>
          <w:spacing w:val="-8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b w:val="false"/>
          <w:bCs w:val="false"/>
          <w:spacing w:val="-8"/>
          <w:lang w:val="it-IT"/>
        </w:rPr>
        <w:t>testo_intolleranze_lungo</w:t>
      </w:r>
    </w:p>
    <w:p>
      <w:pPr>
        <w:pStyle w:val="Heading2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Heading2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Normal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5"/>
        <w:gridCol w:w="2427"/>
        <w:gridCol w:w="2351"/>
        <w:gridCol w:w="1345"/>
        <w:gridCol w:w="2432"/>
      </w:tblGrid>
      <w:tr>
        <w:trPr>
          <w:trHeight w:val="454" w:hRule="atLeast"/>
        </w:trPr>
        <w:tc>
          <w:tcPr>
            <w:tcW w:w="1795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b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  <w:r>
        <w:br w:type="page"/>
      </w:r>
    </w:p>
    <w:p>
      <w:pPr>
        <w:pStyle w:val="Normal"/>
        <w:spacing w:lineRule="auto" w:line="276" w:before="0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/>
      </w:r>
    </w:p>
    <w:p>
      <w:pPr>
        <w:pStyle w:val="Normal"/>
        <w:spacing w:lineRule="auto" w:line="276" w:before="0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INFLUENZA</w:t>
      </w:r>
      <w:r>
        <w:rPr>
          <w:rFonts w:ascii="Arial" w:hAnsi="Arial"/>
          <w:b/>
          <w:color w:val="E32C5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GENETICA NELL'ASSORBIMENTO </w:t>
        <w:br/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24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NEL METABOLISMO DI MINERALI </w:t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 VITAMINE</w:t>
      </w:r>
    </w:p>
    <w:p>
      <w:pPr>
        <w:pStyle w:val="Normal"/>
        <w:spacing w:lineRule="auto" w:line="276" w:before="69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TextBody"/>
        <w:spacing w:before="2" w:after="0"/>
        <w:ind w:left="0" w:hanging="0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vitamine</w:t>
      </w:r>
      <w:r>
        <w:rPr>
          <w:b/>
          <w:spacing w:val="-5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-5"/>
          <w:lang w:val="it-IT"/>
        </w:rPr>
        <w:t xml:space="preserve"> </w:t>
      </w:r>
      <w:r>
        <w:rPr>
          <w:spacing w:val="-2"/>
          <w:lang w:val="it-IT"/>
        </w:rPr>
        <w:t>salute.</w:t>
      </w:r>
    </w:p>
    <w:p>
      <w:pPr>
        <w:pStyle w:val="Normal"/>
        <w:spacing w:before="2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organismo;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9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35"/>
          <w:w w:val="99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36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numerosi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fattori</w:t>
      </w:r>
      <w:r>
        <w:rPr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questi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vitamine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1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cibo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normale.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Tuttavia,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essere leggermente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difficile nel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caso in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capitolo,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riveleremo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lang w:val="it-IT"/>
        </w:rPr>
        <w:t>B9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8"/>
          <w:lang w:val="it-IT"/>
        </w:rPr>
        <w:t xml:space="preserve"> </w:t>
      </w:r>
      <w:r>
        <w:rPr>
          <w:b/>
          <w:lang w:val="it-IT"/>
        </w:rPr>
        <w:t>D</w:t>
      </w:r>
      <w:r>
        <w:rPr>
          <w:lang w:val="it-IT"/>
        </w:rPr>
        <w:t>,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B12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b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influenzati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dai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geni.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testo_assorbimento_lungo</w:t>
      </w:r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1435"/>
        <w:gridCol w:w="2179"/>
        <w:gridCol w:w="1350"/>
        <w:gridCol w:w="3106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964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106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43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7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5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10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tbl>
      <w:tblPr>
        <w:tblStyle w:val="Grigliatabella"/>
        <w:tblW w:w="10440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51"/>
        <w:gridCol w:w="2525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7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2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/>
          <w:bCs/>
          <w:sz w:val="17"/>
          <w:szCs w:val="17"/>
        </w:rPr>
      </w:pPr>
      <w:r>
        <w:rPr>
          <w:rFonts w:eastAsia="Arial" w:cs="Arial" w:ascii="Arial" w:hAnsi="Arial"/>
          <w:b/>
          <w:bCs/>
          <w:sz w:val="17"/>
          <w:szCs w:val="17"/>
        </w:rPr>
      </w:r>
    </w:p>
    <w:p>
      <w:pPr>
        <w:pStyle w:val="Normal"/>
        <w:spacing w:before="69" w:after="0"/>
        <w:ind w:left="2618" w:hanging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SCOPRI L'ALLENAMENTO PIÙ ADATTO </w:t>
      </w:r>
      <w:r>
        <w:rPr>
          <w:rFonts w:ascii="Arial" w:hAnsi="Arial"/>
          <w:b/>
          <w:color w:val="82CBD9"/>
          <w:sz w:val="24"/>
          <w:lang w:val="it-IT"/>
        </w:rPr>
        <w:t>A</w:t>
      </w: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 TE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1"/>
          <w:lang w:val="it-IT"/>
        </w:rPr>
        <w:t>In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capitolo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sveleremo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puoi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bravo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struttura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muscolare.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Imparerai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fino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punto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sei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incline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lesioni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tessuti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molli.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L'attività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fisica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influisce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generalmente</w:t>
      </w:r>
      <w:r>
        <w:rPr>
          <w:spacing w:val="20"/>
          <w:w w:val="99"/>
          <w:lang w:val="it-IT"/>
        </w:rPr>
        <w:t xml:space="preserve"> </w:t>
      </w:r>
      <w:r>
        <w:rPr>
          <w:spacing w:val="-1"/>
          <w:lang w:val="it-IT"/>
        </w:rPr>
        <w:t>positivamente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2"/>
          <w:lang w:val="it-IT"/>
        </w:rPr>
        <w:t>salute,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ma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alcune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vantaggiose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alcuni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altri.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38"/>
          <w:w w:val="99"/>
          <w:lang w:val="it-IT"/>
        </w:rPr>
        <w:t xml:space="preserve"> </w:t>
      </w:r>
      <w:r>
        <w:rPr>
          <w:spacing w:val="-1"/>
          <w:lang w:val="it-IT"/>
        </w:rPr>
        <w:t>esempio, la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genetica ha una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grande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influenza su alcune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componenti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dell'atletica come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3"/>
          <w:lang w:val="it-IT"/>
        </w:rPr>
        <w:t xml:space="preserve"> </w:t>
      </w:r>
      <w:r>
        <w:rPr>
          <w:b/>
          <w:spacing w:val="-1"/>
          <w:lang w:val="it-IT"/>
        </w:rPr>
        <w:t>potenza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4"/>
          <w:lang w:val="it-IT"/>
        </w:rPr>
        <w:t xml:space="preserve"> </w:t>
      </w:r>
      <w:r>
        <w:rPr>
          <w:b/>
          <w:spacing w:val="-1"/>
          <w:lang w:val="it-IT"/>
        </w:rPr>
        <w:t>resistenza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4"/>
          <w:w w:val="99"/>
          <w:lang w:val="it-IT"/>
        </w:rPr>
        <w:t xml:space="preserve"> </w:t>
      </w:r>
      <w:r>
        <w:rPr>
          <w:spacing w:val="-2"/>
          <w:lang w:val="it-IT"/>
        </w:rPr>
        <w:t>dimensione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composizione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fibre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muscolari,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flessibilità,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coordinazione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neuromuscolare,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fenotipi.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rFonts w:cs="Arial"/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testo_sport_lungo</w:t>
      </w:r>
    </w:p>
    <w:p>
      <w:pPr>
        <w:pStyle w:val="Heading2"/>
        <w:jc w:val="both"/>
        <w:rPr>
          <w:rFonts w:cs="Arial"/>
          <w:b w:val="false"/>
          <w:b w:val="false"/>
          <w:bCs w:val="false"/>
          <w:lang w:val="it-IT"/>
        </w:rPr>
      </w:pPr>
      <w:r>
        <w:rPr>
          <w:rFonts w:cs="Arial"/>
          <w:b w:val="false"/>
          <w:bCs w:val="false"/>
          <w:lang w:val="it-IT"/>
        </w:rPr>
      </w:r>
    </w:p>
    <w:p>
      <w:pPr>
        <w:pStyle w:val="Heading2"/>
        <w:jc w:val="both"/>
        <w:rPr>
          <w:rFonts w:cs="Arial"/>
          <w:b w:val="false"/>
          <w:b w:val="false"/>
          <w:bCs w:val="false"/>
          <w:sz w:val="19"/>
          <w:szCs w:val="19"/>
          <w:lang w:val="it-IT"/>
        </w:rPr>
      </w:pPr>
      <w:r>
        <w:rPr>
          <w:rFonts w:cs="Arial"/>
          <w:b w:val="false"/>
          <w:bCs w:val="false"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5"/>
        <w:gridCol w:w="3164"/>
        <w:gridCol w:w="1351"/>
        <w:gridCol w:w="2425"/>
        <w:gridCol w:w="1773"/>
      </w:tblGrid>
      <w:tr>
        <w:trPr>
          <w:trHeight w:val="454" w:hRule="atLeast"/>
        </w:trPr>
        <w:tc>
          <w:tcPr>
            <w:tcW w:w="1695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3164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FENOTIPO ASSOCIATO</w:t>
            </w:r>
          </w:p>
        </w:tc>
        <w:tc>
          <w:tcPr>
            <w:tcW w:w="554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95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3164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42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773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8" w:after="0"/>
        <w:rPr>
          <w:rFonts w:ascii="Times New Roman" w:hAnsi="Times New Roman" w:eastAsia="Times New Roman" w:cs="Times New Roman"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sz w:val="20"/>
          <w:szCs w:val="20"/>
          <w:lang w:val="it-IT"/>
        </w:rPr>
      </w:r>
      <w:r>
        <w:br w:type="page"/>
      </w:r>
    </w:p>
    <w:p>
      <w:pPr>
        <w:pStyle w:val="Normal"/>
        <w:spacing w:before="0" w:after="0"/>
        <w:rPr>
          <w:rFonts w:ascii="Calibri" w:hAnsi="Calibri"/>
          <w:b/>
          <w:b/>
          <w:color w:val="7F7F7F"/>
          <w:spacing w:val="-1"/>
          <w:sz w:val="28"/>
          <w:u w:val="single" w:color="7F7F7F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5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ESSENZIALI</w:t>
      </w:r>
      <w:r>
        <w:rPr>
          <w:b/>
          <w:color w:val="7F7F7F"/>
          <w:spacing w:val="-4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5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COMPLETAMENTO</w:t>
      </w:r>
      <w:r>
        <w:rPr>
          <w:b/>
          <w:color w:val="7F7F7F"/>
          <w:spacing w:val="-5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4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  <w:br/>
      </w:r>
    </w:p>
    <w:p>
      <w:pPr>
        <w:pStyle w:val="TextBody"/>
        <w:spacing w:before="15" w:after="0"/>
        <w:ind w:left="0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contempla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studio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mirato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sole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variazioni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corresponsabilità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nell'insorgenza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1"/>
          <w:w w:val="99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complesse</w:t>
      </w:r>
      <w:r>
        <w:rPr>
          <w:spacing w:val="1"/>
          <w:lang w:val="it-IT"/>
        </w:rPr>
        <w:t xml:space="preserve"> </w:t>
      </w:r>
      <w:r>
        <w:rPr>
          <w:lang w:val="it-IT"/>
        </w:rPr>
        <w:t>(es.</w:t>
      </w:r>
      <w:r>
        <w:rPr>
          <w:spacing w:val="54"/>
          <w:lang w:val="it-IT"/>
        </w:rPr>
        <w:t xml:space="preserve"> </w:t>
      </w:r>
      <w:r>
        <w:rPr>
          <w:spacing w:val="-1"/>
          <w:lang w:val="it-IT"/>
        </w:rPr>
        <w:t>Obesità,</w:t>
      </w:r>
      <w:r>
        <w:rPr>
          <w:spacing w:val="1"/>
          <w:lang w:val="it-IT"/>
        </w:rPr>
        <w:t xml:space="preserve"> </w:t>
      </w:r>
      <w:r>
        <w:rPr>
          <w:spacing w:val="-2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55"/>
          <w:lang w:val="it-IT"/>
        </w:rPr>
        <w:t xml:space="preserve"> </w:t>
      </w:r>
      <w:r>
        <w:rPr>
          <w:spacing w:val="-1"/>
          <w:lang w:val="it-IT"/>
        </w:rPr>
        <w:t>2,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cardiovascolari)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vi</w:t>
      </w:r>
      <w:r>
        <w:rPr>
          <w:spacing w:val="5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sostegno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estesa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letteratura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scientifica.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rappresenta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utilissimo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strumento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ai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fini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benessere.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però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sottolineato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22"/>
          <w:lang w:val="it-IT"/>
        </w:rPr>
        <w:t xml:space="preserve"> </w:t>
      </w:r>
      <w:r>
        <w:rPr>
          <w:b/>
          <w:lang w:val="it-IT"/>
        </w:rPr>
        <w:t>rappresenta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una</w:t>
      </w:r>
      <w:r>
        <w:rPr>
          <w:b/>
          <w:spacing w:val="20"/>
          <w:lang w:val="it-IT"/>
        </w:rPr>
        <w:t xml:space="preserve"> </w:t>
      </w:r>
      <w:r>
        <w:rPr>
          <w:b/>
          <w:lang w:val="it-IT"/>
        </w:rPr>
        <w:t>diagnosi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clinica,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pertanto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sostituisce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il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parere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spacing w:val="-1"/>
          <w:lang w:val="it-IT"/>
        </w:rPr>
        <w:t>.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risultati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devono</w:t>
      </w:r>
      <w:r>
        <w:rPr>
          <w:spacing w:val="28"/>
          <w:w w:val="9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valutati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approvati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luce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storia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anamnestica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personale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su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verifica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curante</w:t>
      </w:r>
      <w:r>
        <w:rPr>
          <w:spacing w:val="-1"/>
          <w:lang w:val="it-IT"/>
        </w:rPr>
        <w:t>.</w:t>
      </w:r>
    </w:p>
    <w:p>
      <w:pPr>
        <w:pStyle w:val="Normal"/>
        <w:spacing w:before="2" w:after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TextBody"/>
        <w:ind w:left="0" w:hanging="0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4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2" w:after="0"/>
        <w:rPr>
          <w:rFonts w:ascii="Arial" w:hAnsi="Arial" w:eastAsia="Arial" w:cs="Arial"/>
          <w:b/>
          <w:b/>
          <w:bCs/>
          <w:sz w:val="13"/>
          <w:szCs w:val="13"/>
          <w:lang w:val="it-IT"/>
        </w:rPr>
      </w:pPr>
      <w:r>
        <w:rPr>
          <w:rFonts w:eastAsia="Arial" w:cs="Arial" w:ascii="Arial" w:hAnsi="Arial"/>
          <w:b/>
          <w:bCs/>
          <w:sz w:val="13"/>
          <w:szCs w:val="13"/>
          <w:lang w:val="it-IT"/>
        </w:rPr>
      </w:r>
    </w:p>
    <w:p>
      <w:pPr>
        <w:pStyle w:val="Normal"/>
        <w:spacing w:before="80" w:after="0"/>
        <w:rPr>
          <w:rFonts w:ascii="Times New Roman" w:hAnsi="Times New Roman" w:eastAsia="Times New Roman" w:cs="Times New Roman"/>
          <w:b/>
          <w:b/>
          <w:bCs/>
          <w:i/>
          <w:i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before="3" w:after="0"/>
        <w:rPr>
          <w:rFonts w:ascii="Times New Roman" w:hAnsi="Times New Roman" w:eastAsia="Times New Roman" w:cs="Times New Roman"/>
          <w:b/>
          <w:b/>
          <w:bCs/>
          <w:i/>
          <w:i/>
          <w:sz w:val="13"/>
          <w:szCs w:val="13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13"/>
          <w:szCs w:val="13"/>
          <w:lang w:val="it-IT"/>
        </w:rPr>
      </w:r>
    </w:p>
    <w:p>
      <w:pPr>
        <w:pStyle w:val="Normal"/>
        <w:spacing w:lineRule="auto" w:line="240"/>
        <w:ind w:right="423" w:hanging="0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4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58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right="270" w:hanging="0"/>
        <w:rPr/>
      </w:pPr>
      <w:r>
        <w:rPr>
          <w:rFonts w:ascii="Times New Roman" w:hAnsi="Times New Roman"/>
          <w:spacing w:val="-1"/>
          <w:sz w:val="16"/>
        </w:rPr>
        <w:t>Dana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Simona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Chita,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Anca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Tudor,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Ruxandra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Christodorescu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al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Prevalence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Factors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Involved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8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Cardioembolic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Stroke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Severity. </w:t>
      </w:r>
      <w:r>
        <w:rPr>
          <w:rFonts w:ascii="Times New Roman" w:hAnsi="Times New Roman"/>
          <w:spacing w:val="-1"/>
          <w:sz w:val="16"/>
        </w:rPr>
        <w:t>Brain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Sci.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2020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10(8):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476.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right="171" w:hanging="0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A.Georgopoulos,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-2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right="171" w:hanging="0"/>
        <w:rPr/>
      </w:pPr>
      <w:r>
        <w:rPr>
          <w:rFonts w:ascii="Times New Roman" w:hAnsi="Times New Roman"/>
          <w:spacing w:val="-1"/>
          <w:sz w:val="16"/>
        </w:rPr>
        <w:t>Chun-Jian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Qiu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Xiao-Zheng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Ye,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Xiao-Juan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Yu,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Xiao-Ren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Peng,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Tong-Huan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Association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between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FABP2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Ala54Thr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</w:t>
      </w:r>
      <w:r>
        <w:rPr>
          <w:rFonts w:ascii="Times New Roman" w:hAnsi="Times New Roman"/>
          <w:i/>
          <w:spacing w:val="4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mellitus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HuGE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Review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Meta-Analysis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Cell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Med.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2014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Dec;18(12):2530-5.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right="171" w:hanging="0"/>
        <w:rPr/>
      </w:pPr>
      <w:r>
        <w:rPr>
          <w:rFonts w:ascii="Times New Roman" w:hAnsi="Times New Roman"/>
          <w:spacing w:val="-1"/>
          <w:sz w:val="16"/>
        </w:rPr>
        <w:t>Dayana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Rodrigues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Farias,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Nadya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Helena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Alves-Santos,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Ilana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Eshriqui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-2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Leptin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(rs7799039;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G2548A)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changes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serum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lipid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during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pregnancy: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prospective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cohort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-2"/>
          <w:sz w:val="16"/>
        </w:rPr>
        <w:t xml:space="preserve"> </w:t>
      </w:r>
      <w:r>
        <w:rPr>
          <w:rFonts w:ascii="Times New Roman" w:hAnsi="Times New Roman"/>
          <w:sz w:val="16"/>
        </w:rPr>
        <w:t>Eur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Nutr.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Aug;59(5):1999-2009.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right="270" w:hanging="0"/>
        <w:rPr/>
      </w:pPr>
      <w:r>
        <w:rPr>
          <w:rFonts w:ascii="Times New Roman" w:hAnsi="Times New Roman"/>
          <w:spacing w:val="-1"/>
          <w:sz w:val="16"/>
        </w:rPr>
        <w:t>Crider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(2011).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677C-&gt;T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genotype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folate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homocysteine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large,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population-based,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double-blind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trial</w:t>
      </w:r>
      <w:r>
        <w:rPr>
          <w:rFonts w:ascii="Times New Roman" w:hAnsi="Times New Roman"/>
          <w:i/>
          <w:spacing w:val="3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folic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supplementation.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Am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Clin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Nutr.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93(6):1365-1372.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3"/>
          <w:szCs w:val="13"/>
        </w:rPr>
      </w:pPr>
      <w:r>
        <w:rPr>
          <w:rFonts w:eastAsia="Times New Roman" w:cs="Times New Roman" w:ascii="Times New Roman" w:hAnsi="Times New Roman"/>
          <w:sz w:val="13"/>
          <w:szCs w:val="13"/>
        </w:rPr>
      </w:r>
    </w:p>
    <w:p>
      <w:pPr>
        <w:pStyle w:val="Normal"/>
        <w:spacing w:lineRule="auto" w:line="240"/>
        <w:ind w:right="171" w:hanging="0"/>
        <w:rPr/>
      </w:pPr>
      <w:r>
        <w:rPr>
          <w:rFonts w:ascii="Times New Roman" w:hAnsi="Times New Roman"/>
          <w:spacing w:val="-1"/>
          <w:sz w:val="16"/>
        </w:rPr>
        <w:t>Chibo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Liu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Sihua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Mou,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Chunqin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FTO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rs9939609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predicts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disease: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systematic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review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meta-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analysis.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z w:val="16"/>
        </w:rPr>
        <w:t>PLoS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One.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2013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Aug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19;8(8):e71901.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rPr/>
      </w:pPr>
      <w:r>
        <w:rPr>
          <w:rFonts w:ascii="Times New Roman" w:hAnsi="Times New Roman"/>
          <w:spacing w:val="-1"/>
          <w:sz w:val="16"/>
        </w:rPr>
        <w:t>Warodomwichit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ADIPOQ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polymorphisms,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monounsaturated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fatty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obesity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GOLDN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study. </w:t>
      </w:r>
      <w:r>
        <w:rPr>
          <w:rFonts w:ascii="Times New Roman" w:hAnsi="Times New Roman"/>
          <w:spacing w:val="-1"/>
          <w:sz w:val="16"/>
        </w:rPr>
        <w:t>Obesity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17(3):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510-517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right="171" w:hanging="0"/>
        <w:rPr/>
      </w:pPr>
      <w:r>
        <w:rPr>
          <w:rFonts w:ascii="Times New Roman" w:hAnsi="Times New Roman"/>
          <w:spacing w:val="-1"/>
          <w:sz w:val="16"/>
        </w:rPr>
        <w:t>Hivert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</w:rPr>
        <w:t>Common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variants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(ADIPOQ)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plasma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levels,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diabetes-related</w:t>
      </w:r>
      <w:r>
        <w:rPr>
          <w:rFonts w:ascii="Times New Roman" w:hAnsi="Times New Roman"/>
          <w:i/>
          <w:spacing w:val="7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quantitative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traits: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Framingham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Offspring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Diabetes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57(12):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3353-3359</w:t>
      </w:r>
    </w:p>
    <w:p>
      <w:pPr>
        <w:pStyle w:val="Normal"/>
        <w:spacing w:lineRule="auto" w:line="240"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rPr/>
      </w:pPr>
      <w:r>
        <w:rPr>
          <w:rFonts w:ascii="Times New Roman" w:hAnsi="Times New Roman"/>
          <w:color w:val="202020"/>
          <w:spacing w:val="-1"/>
          <w:sz w:val="16"/>
        </w:rPr>
        <w:t>Mahley</w:t>
      </w:r>
      <w:r>
        <w:rPr>
          <w:rFonts w:ascii="Times New Roman" w:hAnsi="Times New Roman"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RW.</w:t>
      </w:r>
      <w:r>
        <w:rPr>
          <w:rFonts w:ascii="Times New Roman" w:hAnsi="Times New Roman"/>
          <w:color w:val="202020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Apolipoprotein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E: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cardiovascular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disease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disorders.</w:t>
      </w:r>
      <w:r>
        <w:rPr>
          <w:rFonts w:ascii="Times New Roman" w:hAnsi="Times New Roman"/>
          <w:i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J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Mol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Med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(Berl).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2016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Jul;94(7):739-46.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lineRule="auto" w:line="240"/>
        <w:ind w:right="171" w:hanging="0"/>
        <w:rPr/>
      </w:pPr>
      <w:r>
        <w:rPr>
          <w:rFonts w:ascii="Times New Roman" w:hAnsi="Times New Roman"/>
          <w:color w:val="202020"/>
          <w:spacing w:val="-1"/>
          <w:sz w:val="16"/>
        </w:rPr>
        <w:t>Iwai</w:t>
      </w:r>
      <w:r>
        <w:rPr>
          <w:rFonts w:ascii="Times New Roman" w:hAnsi="Times New Roman"/>
          <w:color w:val="202020"/>
          <w:spacing w:val="1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C,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Akita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K,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Shiga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N,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Matsuda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Takai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E,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Shimizu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Kajiya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Hayashi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M.</w:t>
      </w:r>
      <w:r>
        <w:rPr>
          <w:rFonts w:ascii="Times New Roman" w:hAnsi="Times New Roman"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</w:rPr>
        <w:t>Am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Heart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J.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2003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</w:rPr>
        <w:t>Jul;146(1):106-9.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right="171" w:hanging="0"/>
        <w:rPr/>
      </w:pPr>
      <w:r>
        <w:rPr>
          <w:rFonts w:ascii="Times New Roman" w:hAnsi="Times New Roman"/>
          <w:spacing w:val="-1"/>
          <w:sz w:val="16"/>
        </w:rPr>
        <w:t>Willer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Six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new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loci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mass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index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highlight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neuronal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influence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weight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regulation.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Genet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41(1):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25-34</w:t>
      </w:r>
      <w:r>
        <w:rPr>
          <w:rFonts w:ascii="Times New Roman" w:hAnsi="Times New Roman"/>
          <w:spacing w:val="50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Benyamin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Variants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TF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HFE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explain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approximately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40%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genetic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variation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serum-transferrin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levels.</w:t>
      </w:r>
      <w:r>
        <w:rPr>
          <w:rFonts w:ascii="Times New Roman" w:hAnsi="Times New Roman"/>
          <w:i/>
          <w:spacing w:val="2"/>
          <w:sz w:val="16"/>
        </w:rPr>
        <w:t xml:space="preserve"> </w:t>
      </w:r>
      <w:r>
        <w:rPr>
          <w:rFonts w:ascii="Times New Roman" w:hAnsi="Times New Roman"/>
          <w:sz w:val="16"/>
        </w:rPr>
        <w:t>Am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Hum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Genet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84(1):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60-65</w:t>
      </w:r>
    </w:p>
    <w:p>
      <w:pPr>
        <w:pStyle w:val="Normal"/>
        <w:spacing w:lineRule="auto" w:line="240"/>
        <w:ind w:right="171" w:hanging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39" w:after="0"/>
        <w:ind w:right="270" w:hanging="0"/>
        <w:rPr/>
      </w:pPr>
      <w:r>
        <w:rPr>
          <w:rFonts w:ascii="Times New Roman" w:hAnsi="Times New Roman"/>
          <w:spacing w:val="-1"/>
          <w:sz w:val="16"/>
        </w:rPr>
        <w:t>Keen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(1999).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Association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collagen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(COL1A1)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locus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reduced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bone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mineral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density,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increased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fracture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increased</w:t>
      </w:r>
      <w:r>
        <w:rPr>
          <w:rFonts w:ascii="Times New Roman" w:hAnsi="Times New Roman"/>
          <w:i/>
          <w:spacing w:val="11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collagen</w:t>
      </w:r>
      <w:r>
        <w:rPr>
          <w:rFonts w:ascii="Times New Roman" w:hAnsi="Times New Roman"/>
          <w:i/>
          <w:spacing w:val="11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turnover.</w:t>
      </w:r>
      <w:r>
        <w:rPr>
          <w:rFonts w:ascii="Times New Roman" w:hAnsi="Times New Roman"/>
          <w:i/>
          <w:spacing w:val="-2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Arthritis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Rheum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42(2):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285-290</w:t>
      </w:r>
    </w:p>
    <w:p>
      <w:pPr>
        <w:pStyle w:val="Normal"/>
        <w:spacing w:lineRule="auto" w:line="240" w:before="39" w:after="0"/>
        <w:ind w:right="270" w:hanging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before="7" w:after="0"/>
        <w:rPr>
          <w:rFonts w:ascii="Times New Roman" w:hAnsi="Times New Roman" w:eastAsia="Times New Roman" w:cs="Times New Roman"/>
          <w:sz w:val="14"/>
          <w:szCs w:val="14"/>
        </w:rPr>
      </w:pPr>
      <w:r>
        <w:rPr>
          <w:rFonts w:eastAsia="Times New Roman" w:cs="Times New Roman" w:ascii="Times New Roman" w:hAnsi="Times New Roman"/>
          <w:sz w:val="14"/>
          <w:szCs w:val="14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3"/>
        <w:gridCol w:w="2209"/>
        <w:gridCol w:w="1847"/>
        <w:gridCol w:w="2318"/>
        <w:gridCol w:w="2512"/>
      </w:tblGrid>
      <w:tr>
        <w:trPr>
          <w:trHeight w:val="1262" w:hRule="exact"/>
        </w:trPr>
        <w:tc>
          <w:tcPr>
            <w:tcW w:w="12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09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7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both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right="592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  <w:bookmarkStart w:id="0" w:name="_Hlk83980272"/>
            <w:bookmarkEnd w:id="0"/>
          </w:p>
        </w:tc>
      </w:tr>
    </w:tbl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8" w:footer="297" w:bottom="93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Arial">
    <w:charset w:val="01"/>
    <w:family w:val="roman"/>
    <w:pitch w:val="default"/>
  </w:font>
  <w:font w:name="Cambria"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arial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8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8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N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08" w:hanging="0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6f7d9e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6f7d9e"/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603722"/>
    <w:rPr/>
  </w:style>
  <w:style w:type="character" w:styleId="PidipaginaCarattere" w:customStyle="1">
    <w:name w:val="Piè di pagina Carattere"/>
    <w:basedOn w:val="DefaultParagraphFont"/>
    <w:uiPriority w:val="99"/>
    <w:qFormat/>
    <w:rsid w:val="00603722"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>
      <w:ind w:left="108" w:hanging="0"/>
    </w:pPr>
    <w:rPr>
      <w:rFonts w:ascii="Arial" w:hAnsi="Arial" w:eastAsia="Arial"/>
      <w:sz w:val="20"/>
      <w:szCs w:val="20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c22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Application>LibreOffice/7.3.7.2$Linux_X86_64 LibreOffice_project/30$Build-2</Application>
  <AppVersion>15.0000</AppVersion>
  <Pages>8</Pages>
  <Words>1342</Words>
  <Characters>8276</Characters>
  <CharactersWithSpaces>9482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2021-09-29T12:14:00Z</dcterms:created>
  <dc:creator>Alessandra</dc:creator>
  <dc:description/>
  <dc:language>en-US</dc:language>
  <cp:lastModifiedBy/>
  <dcterms:modified xsi:type="dcterms:W3CDTF">2024-10-25T09:40:46Z</dcterms:modified>
  <cp:revision>27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2021-09-29T00:00:00Z</vt:filetime>
  </property>
  <property fmtid="{D5CDD505-2E9C-101B-9397-08002B2CF9AE}" pid="3" name="LastSaved">
    <vt:filetime>2021-09-29T00:00:00Z</vt:filetime>
  </property>
</Properties>
</file>