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mc:AlternateContent>
          <mc:Choice Requires="wps">
            <w:drawing>
              <wp:anchor behindDoc="0" distT="635" distB="635" distL="1270" distR="0" simplePos="0" locked="0" layoutInCell="0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left="3509" w:right="3329" w:hanging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E32C56"/>
          <w:spacing w:val="-1"/>
          <w:sz w:val="36"/>
        </w:rPr>
        <w:t>test_title</w:t>
      </w:r>
    </w:p>
    <w:p>
      <w:pPr>
        <w:pStyle w:val="Normal"/>
        <w:spacing w:before="4" w:after="0"/>
        <w:rPr>
          <w:rFonts w:ascii="Calibri" w:hAnsi="Calibri" w:eastAsia="Calibri" w:cs="Calibri"/>
          <w:b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0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left="108" w:hanging="0"/>
        <w:rPr>
          <w:rFonts w:ascii="Arial" w:hAnsi="Arial"/>
          <w:b/>
          <w:b/>
          <w:spacing w:val="-1"/>
          <w:sz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intestaz_sex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&lt;nome&gt;</w:t>
      </w:r>
    </w:p>
    <w:p>
      <w:pPr>
        <w:pStyle w:val="Normal"/>
        <w:spacing w:before="58" w:after="0"/>
        <w:ind w:left="108" w:hanging="0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1"/>
        <w:gridCol w:w="3237"/>
        <w:gridCol w:w="3612"/>
      </w:tblGrid>
      <w:tr>
        <w:trPr>
          <w:trHeight w:val="787" w:hRule="atLeast"/>
        </w:trPr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&lt;NrAcc&gt;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&lt;timestamp&gt;</w:t>
            </w:r>
          </w:p>
        </w:tc>
        <w:tc>
          <w:tcPr>
            <w:tcW w:w="361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&lt;datanasc&gt;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&lt;sex&gt;</w:t>
            </w:r>
          </w:p>
        </w:tc>
        <w:tc>
          <w:tcPr>
            <w:tcW w:w="361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1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&lt;weight&gt;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&lt;height&gt;</w:t>
            </w:r>
          </w:p>
        </w:tc>
        <w:tc>
          <w:tcPr>
            <w:tcW w:w="361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&lt;bmi&gt;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b/>
          <w:b/>
          <w:bCs/>
          <w:sz w:val="15"/>
          <w:szCs w:val="15"/>
          <w:lang w:val="it-IT"/>
        </w:rPr>
      </w:pPr>
      <w:r>
        <w:rPr>
          <w:rFonts w:eastAsia="Arial" w:cs="Arial" w:ascii="Arial" w:hAnsi="Arial"/>
          <w:b/>
          <w:bCs/>
          <w:sz w:val="15"/>
          <w:szCs w:val="15"/>
          <w:lang w:val="it-IT"/>
        </w:rPr>
      </w:r>
    </w:p>
    <w:p>
      <w:pPr>
        <w:pStyle w:val="Normal"/>
        <w:spacing w:before="72" w:after="0"/>
        <w:ind w:left="1709" w:hanging="0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right="65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&lt;valpeso_sintesi&gt;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&lt;valt2d_sintesi&gt;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&lt;valcardio_sintesi&gt;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&lt;testo_intolleranze&gt;</w:t>
            </w:r>
          </w:p>
        </w:tc>
      </w:tr>
    </w:tbl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b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FFFFFF" w:themeColor="background1"/>
                <w:lang w:val="it-IT"/>
              </w:rPr>
            </w:pPr>
            <w:r>
              <w:rPr>
                <w:rFonts w:eastAsia="Arial" w:cs="Arial" w:ascii="Arial" w:hAnsi="Arial"/>
                <w:color w:val="FFFFFF" w:themeColor="background1"/>
                <w:kern w:val="0"/>
                <w:sz w:val="22"/>
                <w:szCs w:val="22"/>
                <w:lang w:val="it-IT" w:eastAsia="en-US" w:bidi="ar-SA"/>
              </w:rPr>
              <w:t>&lt;testo_assorbimento&gt;</w:t>
            </w:r>
          </w:p>
        </w:tc>
      </w:tr>
    </w:tbl>
    <w:p>
      <w:pPr>
        <w:pStyle w:val="TextBody"/>
        <w:tabs>
          <w:tab w:val="clear" w:pos="720"/>
          <w:tab w:val="left" w:pos="5274" w:leader="none"/>
        </w:tabs>
        <w:spacing w:lineRule="atLeast" w:line="200"/>
        <w:ind w:left="390" w:hanging="0"/>
        <w:rPr>
          <w:rFonts w:cs="Arial"/>
        </w:rPr>
      </w:pPr>
      <w:r>
        <w:rPr>
          <w:position w:val="20"/>
        </w:rPr>
        <w:tab/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6070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27"/>
          <w:szCs w:val="27"/>
        </w:rPr>
      </w:pPr>
      <w:r>
        <w:rPr>
          <w:rFonts w:eastAsia="Arial" w:cs="Arial" w:ascii="Arial" w:hAnsi="Arial"/>
          <w:sz w:val="27"/>
          <w:szCs w:val="27"/>
        </w:rPr>
      </w:r>
    </w:p>
    <w:p>
      <w:pPr>
        <w:pStyle w:val="Heading2"/>
        <w:spacing w:lineRule="auto" w:line="276" w:before="56" w:after="0"/>
        <w:ind w:left="108" w:right="168" w:hanging="0"/>
        <w:rPr>
          <w:rFonts w:ascii="Arial" w:hAnsi="Arial" w:cs="Arial"/>
          <w:b w:val="false"/>
          <w:b w:val="false"/>
          <w:bCs w:val="false"/>
          <w:sz w:val="20"/>
          <w:szCs w:val="20"/>
          <w:lang w:val="it-IT"/>
        </w:rPr>
      </w:pPr>
      <w:r>
        <w:rPr>
          <w:rFonts w:cs="Arial" w:ascii="Arial" w:hAnsi="Arial"/>
          <w:sz w:val="20"/>
          <w:szCs w:val="20"/>
          <w:u w:val="single" w:color="000000"/>
          <w:lang w:val="it-IT"/>
        </w:rPr>
        <w:t>N.B.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La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sintesi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sopra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riportata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non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è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una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(le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cliniche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spettano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esclusivamente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al</w:t>
      </w:r>
      <w:r>
        <w:rPr>
          <w:rFonts w:cs="Arial" w:ascii="Arial" w:hAnsi="Arial"/>
          <w:spacing w:val="40"/>
          <w:sz w:val="20"/>
          <w:szCs w:val="2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/>
          <w:bCs/>
          <w:sz w:val="18"/>
          <w:szCs w:val="18"/>
          <w:lang w:val="it-IT"/>
        </w:rPr>
      </w:pPr>
      <w:r>
        <w:rPr>
          <w:rFonts w:eastAsia="Calibri" w:cs="Calibri"/>
          <w:b/>
          <w:bCs/>
          <w:sz w:val="18"/>
          <w:szCs w:val="18"/>
          <w:lang w:val="it-IT"/>
        </w:rPr>
      </w:r>
    </w:p>
    <w:p>
      <w:pPr>
        <w:pStyle w:val="Normal"/>
        <w:spacing w:before="69" w:after="0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F49D16"/>
          <w:spacing w:val="-1"/>
          <w:sz w:val="24"/>
          <w:lang w:val="it-IT"/>
        </w:rPr>
        <w:t>PREDISPOSIZIONE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GENETICA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ALL'AUMENTO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DI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&lt;valpeso&gt;</w:t>
            </w:r>
            <w:bookmarkStart w:id="0" w:name="_Hlk83979477"/>
            <w:bookmarkEnd w:id="0"/>
          </w:p>
        </w:tc>
      </w:tr>
    </w:tbl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" w:name="_Hlk83979518"/>
            <w:bookmarkStart w:id="2" w:name="_Hlk83979518"/>
            <w:bookmarkEnd w:id="2"/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 w:val="false"/>
          <w:bCs w:val="false"/>
          <w:lang w:val="it-IT"/>
        </w:rPr>
      </w:pPr>
      <w:r>
        <w:rPr/>
      </w:r>
    </w:p>
    <w:p>
      <w:pPr>
        <w:pStyle w:val="Heading1"/>
        <w:spacing w:before="0" w:after="0"/>
        <w:jc w:val="center"/>
        <w:rPr>
          <w:b w:val="false"/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right="119" w:hanging="0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lineRule="auto" w:line="288"/>
        <w:ind w:right="119" w:hanging="0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&lt;valt2d&gt;</w:t>
            </w:r>
            <w:bookmarkStart w:id="3" w:name="_Hlk83979565"/>
            <w:bookmarkEnd w:id="3"/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4" w:name="_Hlk83979627"/>
            <w:bookmarkStart w:id="5" w:name="_Hlk83979627"/>
            <w:bookmarkEnd w:id="5"/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 w:val="false"/>
          <w:bCs w:val="false"/>
        </w:rPr>
      </w:pPr>
      <w:r>
        <w:rPr/>
      </w:r>
    </w:p>
    <w:p>
      <w:pPr>
        <w:pStyle w:val="Heading1"/>
        <w:spacing w:before="0" w:after="0"/>
        <w:jc w:val="center"/>
        <w:rPr>
          <w:b w:val="false"/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patologie</w:t>
      </w:r>
      <w:r>
        <w:rPr>
          <w:b/>
          <w:color w:val="F49D16"/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0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&lt;valcardio&gt;</w:t>
            </w:r>
            <w:bookmarkStart w:id="6" w:name="_Hlk83979719"/>
            <w:bookmarkEnd w:id="6"/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1"/>
        <w:gridCol w:w="2255"/>
        <w:gridCol w:w="3877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236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77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25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7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7" w:name="_Hlk83979744"/>
            <w:bookmarkStart w:id="8" w:name="_Hlk83979744"/>
            <w:bookmarkEnd w:id="8"/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528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0"/>
        <w:gridCol w:w="1623"/>
        <w:gridCol w:w="2353"/>
        <w:gridCol w:w="2611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0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87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2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3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1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 w:val="false"/>
          <w:bCs w:val="false"/>
        </w:rPr>
      </w:pPr>
      <w:r>
        <w:rPr/>
      </w:r>
    </w:p>
    <w:p>
      <w:pPr>
        <w:pStyle w:val="Heading1"/>
        <w:spacing w:before="0" w:after="0"/>
        <w:jc w:val="center"/>
        <w:rPr>
          <w:b w:val="false"/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bookmarkStart w:id="9" w:name="_Hlk83979830"/>
      <w:r>
        <w:rPr>
          <w:b w:val="false"/>
          <w:bCs w:val="false"/>
          <w:spacing w:val="-8"/>
          <w:lang w:val="it-IT"/>
        </w:rPr>
        <w:t>testo_intolleranze_lungo</w:t>
      </w:r>
      <w:bookmarkEnd w:id="9"/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  <w:bookmarkStart w:id="10" w:name="_Hlk83979809"/>
      <w:bookmarkStart w:id="11" w:name="_Hlk83979809"/>
      <w:bookmarkEnd w:id="11"/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5"/>
        <w:gridCol w:w="2427"/>
        <w:gridCol w:w="2351"/>
        <w:gridCol w:w="1345"/>
        <w:gridCol w:w="2432"/>
      </w:tblGrid>
      <w:tr>
        <w:trPr>
          <w:trHeight w:val="454" w:hRule="atLeast"/>
        </w:trPr>
        <w:tc>
          <w:tcPr>
            <w:tcW w:w="1795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2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5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11" w:after="0"/>
        <w:ind w:left="0" w:hanging="0"/>
        <w:jc w:val="both"/>
        <w:rPr>
          <w:rFonts w:ascii="Arial" w:hAnsi="Arial" w:eastAsia="Arial" w:cs="Arial"/>
          <w:b w:val="false"/>
          <w:b w:val="false"/>
          <w:bCs w:val="false"/>
          <w:sz w:val="19"/>
          <w:szCs w:val="19"/>
          <w:lang w:val="it-IT"/>
        </w:rPr>
      </w:pPr>
      <w:r>
        <w:rPr>
          <w:rFonts w:eastAsia="Arial" w:cs="Arial" w:ascii="Arial" w:hAnsi="Arial"/>
          <w:b w:val="false"/>
          <w:bCs w:val="false"/>
          <w:sz w:val="19"/>
          <w:szCs w:val="19"/>
          <w:lang w:val="it-IT"/>
        </w:rPr>
      </w:r>
      <w:r>
        <w:br w:type="page"/>
      </w:r>
    </w:p>
    <w:p>
      <w:pPr>
        <w:pStyle w:val="Normal"/>
        <w:spacing w:lineRule="auto" w:line="276" w:before="0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/>
      </w:r>
    </w:p>
    <w:p>
      <w:pPr>
        <w:pStyle w:val="Normal"/>
        <w:spacing w:lineRule="auto" w:line="276" w:before="0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INFLUENZA</w:t>
      </w:r>
      <w:r>
        <w:rPr>
          <w:rFonts w:ascii="Arial" w:hAnsi="Arial"/>
          <w:b/>
          <w:color w:val="E32C5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GENETICA NELL'ASSORBIMENTO </w:t>
        <w:br/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24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NEL METABOLISMO DI MINERALI </w:t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 VITAMINE</w:t>
      </w:r>
      <w:bookmarkStart w:id="12" w:name="_Hlk83979922"/>
      <w:bookmarkEnd w:id="12"/>
    </w:p>
    <w:p>
      <w:pPr>
        <w:pStyle w:val="Normal"/>
        <w:spacing w:lineRule="auto" w:line="276" w:before="69" w:after="0"/>
        <w:ind w:left="2514" w:right="2432" w:hanging="142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TextBody"/>
        <w:spacing w:before="2" w:after="0"/>
        <w:ind w:left="0" w:hanging="0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vitamine</w:t>
      </w:r>
      <w:r>
        <w:rPr>
          <w:b/>
          <w:spacing w:val="-5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-5"/>
          <w:lang w:val="it-IT"/>
        </w:rPr>
        <w:t xml:space="preserve"> </w:t>
      </w:r>
      <w:r>
        <w:rPr>
          <w:spacing w:val="-2"/>
          <w:lang w:val="it-IT"/>
        </w:rPr>
        <w:t>salute.</w:t>
      </w:r>
    </w:p>
    <w:p>
      <w:pPr>
        <w:pStyle w:val="Normal"/>
        <w:spacing w:before="2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organismo;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9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35"/>
          <w:w w:val="99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36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numerosi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fattori</w:t>
      </w:r>
      <w:r>
        <w:rPr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questi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vitamine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1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cibo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normale.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Tuttavia,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essere leggermente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difficile nel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caso in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capitolo,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riveleremo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lang w:val="it-IT"/>
        </w:rPr>
        <w:t>B9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8"/>
          <w:lang w:val="it-IT"/>
        </w:rPr>
        <w:t xml:space="preserve"> </w:t>
      </w:r>
      <w:r>
        <w:rPr>
          <w:b/>
          <w:lang w:val="it-IT"/>
        </w:rPr>
        <w:t>D</w:t>
      </w:r>
      <w:r>
        <w:rPr>
          <w:lang w:val="it-IT"/>
        </w:rPr>
        <w:t>,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B12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b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influenzati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geni.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11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color w:val="008080"/>
          <w:spacing w:val="-1"/>
          <w:lang w:val="it-IT"/>
        </w:rPr>
        <w:t xml:space="preserve"> </w:t>
      </w:r>
      <w:bookmarkStart w:id="13" w:name="_Hlk83979936"/>
      <w:r>
        <w:rPr>
          <w:rFonts w:cs="Arial"/>
          <w:b w:val="false"/>
          <w:bCs w:val="false"/>
          <w:lang w:val="it-IT"/>
        </w:rPr>
        <w:t>testo_assorbimento_lungo</w:t>
      </w:r>
      <w:bookmarkEnd w:id="13"/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0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4"/>
        <w:gridCol w:w="1359"/>
        <w:gridCol w:w="2176"/>
        <w:gridCol w:w="1350"/>
        <w:gridCol w:w="3093"/>
      </w:tblGrid>
      <w:tr>
        <w:trPr>
          <w:trHeight w:val="454" w:hRule="atLeast"/>
        </w:trPr>
        <w:tc>
          <w:tcPr>
            <w:tcW w:w="242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885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093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42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5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7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5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093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4" w:name="_Hlk83979968"/>
            <w:bookmarkStart w:id="15" w:name="_Hlk83979968"/>
            <w:bookmarkEnd w:id="15"/>
          </w:p>
        </w:tc>
      </w:tr>
    </w:tbl>
    <w:p>
      <w:pPr>
        <w:pStyle w:val="Normal"/>
        <w:spacing w:before="10" w:after="0"/>
        <w:rPr>
          <w:rFonts w:ascii="Arial" w:hAnsi="Arial" w:eastAsia="Arial" w:cs="Arial"/>
          <w:b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</w:p>
    <w:p>
      <w:pPr>
        <w:pStyle w:val="Normal"/>
        <w:spacing w:before="10" w:after="0"/>
        <w:rPr>
          <w:rFonts w:ascii="Arial" w:hAnsi="Arial" w:eastAsia="Arial" w:cs="Arial"/>
          <w:b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</w:p>
    <w:tbl>
      <w:tblPr>
        <w:tblStyle w:val="Grigliatabella"/>
        <w:tblW w:w="10342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19"/>
        <w:gridCol w:w="2324"/>
        <w:gridCol w:w="1619"/>
        <w:gridCol w:w="2353"/>
        <w:gridCol w:w="2427"/>
      </w:tblGrid>
      <w:tr>
        <w:trPr>
          <w:trHeight w:val="454" w:hRule="atLeast"/>
        </w:trPr>
        <w:tc>
          <w:tcPr>
            <w:tcW w:w="1619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val="it-IT"/>
              </w:rPr>
              <w:t>SNP</w:t>
            </w:r>
          </w:p>
        </w:tc>
        <w:tc>
          <w:tcPr>
            <w:tcW w:w="639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19" w:type="dxa"/>
            <w:tcBorders>
              <w:right w:val="nil"/>
            </w:tcBorders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2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1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42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before="10" w:after="0"/>
        <w:rPr>
          <w:rFonts w:ascii="Arial" w:hAnsi="Arial" w:eastAsia="Arial" w:cs="Arial"/>
          <w:b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  <w:r>
        <w:br w:type="page"/>
      </w:r>
    </w:p>
    <w:p>
      <w:pPr>
        <w:pStyle w:val="Normal"/>
        <w:spacing w:before="0" w:after="0"/>
        <w:ind w:left="108" w:hanging="0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TextBody"/>
        <w:spacing w:lineRule="auto" w:line="271" w:before="74" w:after="0"/>
        <w:ind w:left="108" w:right="11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TextBody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3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14"/>
          <w:szCs w:val="14"/>
          <w:lang w:val="it-IT"/>
        </w:rPr>
      </w:pPr>
      <w:r>
        <w:rPr>
          <w:rFonts w:eastAsia="Arial" w:cs="Arial" w:ascii="Arial" w:hAnsi="Arial"/>
          <w:b/>
          <w:bCs/>
          <w:sz w:val="14"/>
          <w:szCs w:val="14"/>
          <w:lang w:val="it-IT"/>
        </w:rPr>
      </w:r>
    </w:p>
    <w:p>
      <w:pPr>
        <w:pStyle w:val="Normal"/>
        <w:spacing w:before="80" w:after="0"/>
        <w:ind w:left="108" w:hanging="0"/>
        <w:rPr>
          <w:sz w:val="16"/>
          <w:szCs w:val="16"/>
        </w:rPr>
      </w:pPr>
      <w:r>
        <w:rPr>
          <w:rFonts w:ascii="Arial" w:hAnsi="Arial"/>
          <w:b/>
          <w:i/>
          <w:spacing w:val="-1"/>
          <w:sz w:val="16"/>
          <w:szCs w:val="16"/>
          <w:lang w:val="it-IT"/>
        </w:rPr>
        <w:t>Bibliografia</w:t>
      </w:r>
    </w:p>
    <w:p>
      <w:pPr>
        <w:pStyle w:val="Normal"/>
        <w:spacing w:before="10" w:after="0"/>
        <w:rPr>
          <w:rFonts w:ascii="Arial" w:hAnsi="Arial" w:eastAsia="Arial" w:cs="Arial"/>
          <w:b/>
          <w:b/>
          <w:bCs/>
          <w:i/>
          <w:i/>
          <w:sz w:val="16"/>
          <w:szCs w:val="16"/>
          <w:lang w:val="it-IT"/>
        </w:rPr>
      </w:pPr>
      <w:r>
        <w:rPr>
          <w:rFonts w:eastAsia="Arial" w:cs="Arial" w:ascii="Arial" w:hAnsi="Arial"/>
          <w:b/>
          <w:bCs/>
          <w:i/>
          <w:sz w:val="16"/>
          <w:szCs w:val="16"/>
          <w:lang w:val="it-IT"/>
        </w:rPr>
      </w:r>
    </w:p>
    <w:p>
      <w:pPr>
        <w:pStyle w:val="Normal"/>
        <w:spacing w:lineRule="auto" w:line="240"/>
        <w:ind w:left="108" w:right="112" w:hanging="0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  <w:lang w:val="en-NZ"/>
        </w:rPr>
        <w:t>Liù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CC,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Liu </w:t>
      </w:r>
      <w:r>
        <w:rPr>
          <w:rFonts w:eastAsia="Arial" w:cs="Arial" w:ascii="Arial" w:hAnsi="Arial"/>
          <w:sz w:val="16"/>
          <w:szCs w:val="16"/>
          <w:lang w:val="en-NZ"/>
        </w:rPr>
        <w:t>CC,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Kanekiyo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T,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Xu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H,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Bu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G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(February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2013).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14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Apolipoprotein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E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Alzheimer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disease: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risk,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mechanisms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therapy</w:t>
      </w:r>
      <w:r>
        <w:rPr>
          <w:rFonts w:eastAsia="Arial" w:cs="Arial" w:ascii="Arial" w:hAnsi="Arial"/>
          <w:i/>
          <w:spacing w:val="1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>.</w:t>
      </w:r>
      <w:r>
        <w:rPr>
          <w:rFonts w:eastAsia="Arial" w:cs="Arial" w:ascii="Arial" w:hAnsi="Arial"/>
          <w:i/>
          <w:spacing w:val="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Nature</w:t>
      </w:r>
      <w:r>
        <w:rPr>
          <w:rFonts w:eastAsia="Arial" w:cs="Arial" w:ascii="Arial" w:hAnsi="Arial"/>
          <w:spacing w:val="9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Reviews.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Neurology.9(2):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3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Simona Chita,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Anca Tudor, Ruxandra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Christodorescu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</w:t>
      </w:r>
      <w:r>
        <w:rPr>
          <w:rFonts w:ascii="Arial" w:hAnsi="Arial"/>
          <w:spacing w:val="4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Prevalence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 Risk Factors</w:t>
      </w:r>
      <w:r>
        <w:rPr>
          <w:rFonts w:ascii="Arial" w:hAnsi="Arial"/>
          <w:i/>
          <w:spacing w:val="88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Involved</w:t>
      </w:r>
      <w:r>
        <w:rPr>
          <w:rFonts w:ascii="Arial" w:hAnsi="Arial"/>
          <w:i/>
          <w:sz w:val="16"/>
          <w:szCs w:val="16"/>
        </w:rPr>
        <w:t xml:space="preserve"> in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Cardioembolic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Stroke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Severity.</w:t>
      </w:r>
      <w:r>
        <w:rPr>
          <w:rFonts w:ascii="Arial" w:hAnsi="Arial"/>
          <w:i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Brain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Sci. 2020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 10(8): 476.</w:t>
      </w:r>
    </w:p>
    <w:p>
      <w:pPr>
        <w:pStyle w:val="Normal"/>
        <w:spacing w:lineRule="auto" w:line="240" w:before="7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257" w:hanging="0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</w:rPr>
        <w:t>A.Georgopoulos,</w:t>
      </w:r>
      <w:r>
        <w:rPr>
          <w:rFonts w:eastAsia="Arial" w:cs="Arial" w:ascii="Arial" w:hAnsi="Arial"/>
          <w:sz w:val="16"/>
          <w:szCs w:val="16"/>
        </w:rPr>
        <w:t xml:space="preserve"> H. </w:t>
      </w:r>
      <w:r>
        <w:rPr>
          <w:rFonts w:eastAsia="Arial" w:cs="Arial" w:ascii="Arial" w:hAnsi="Arial"/>
          <w:spacing w:val="-1"/>
          <w:sz w:val="16"/>
          <w:szCs w:val="16"/>
        </w:rPr>
        <w:t>Bloomfield,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D.</w:t>
      </w:r>
      <w:r>
        <w:rPr>
          <w:rFonts w:eastAsia="Arial" w:cs="Arial" w:ascii="Arial" w:hAnsi="Arial"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Collins</w:t>
      </w:r>
      <w:r>
        <w:rPr>
          <w:rFonts w:eastAsia="Arial" w:cs="Arial" w:ascii="Arial" w:hAnsi="Arial"/>
          <w:sz w:val="16"/>
          <w:szCs w:val="16"/>
        </w:rPr>
        <w:t xml:space="preserve"> et </w:t>
      </w:r>
      <w:r>
        <w:rPr>
          <w:rFonts w:eastAsia="Arial" w:cs="Arial" w:ascii="Arial" w:hAnsi="Arial"/>
          <w:spacing w:val="-1"/>
          <w:sz w:val="16"/>
          <w:szCs w:val="16"/>
        </w:rPr>
        <w:t>al.,</w:t>
      </w:r>
      <w:r>
        <w:rPr>
          <w:rFonts w:eastAsia="Arial" w:cs="Arial" w:ascii="Arial" w:hAnsi="Arial"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“Codon</w:t>
      </w:r>
      <w:r>
        <w:rPr>
          <w:rFonts w:eastAsia="Arial" w:cs="Arial" w:ascii="Arial" w:hAnsi="Arial"/>
          <w:i/>
          <w:sz w:val="16"/>
          <w:szCs w:val="16"/>
        </w:rPr>
        <w:t xml:space="preserve"> 54 </w:t>
      </w:r>
      <w:r>
        <w:rPr>
          <w:rFonts w:eastAsia="Arial" w:cs="Arial" w:ascii="Arial" w:hAnsi="Arial"/>
          <w:i/>
          <w:spacing w:val="-1"/>
          <w:sz w:val="16"/>
          <w:szCs w:val="16"/>
        </w:rPr>
        <w:t>polymorphism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fatty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acid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binding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protein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(FABP)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2 </w:t>
      </w:r>
      <w:r>
        <w:rPr>
          <w:rFonts w:eastAsia="Arial" w:cs="Arial" w:ascii="Arial" w:hAnsi="Arial"/>
          <w:i/>
          <w:spacing w:val="-1"/>
          <w:sz w:val="16"/>
          <w:szCs w:val="16"/>
        </w:rPr>
        <w:t>gene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associated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with</w:t>
      </w:r>
      <w:r>
        <w:rPr>
          <w:rFonts w:eastAsia="Arial" w:cs="Arial" w:ascii="Arial" w:hAnsi="Arial"/>
          <w:i/>
          <w:spacing w:val="99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increased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cardiovascular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dyslipidemic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diabetic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participants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Veterans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Affairs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HDL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intervention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trial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(VA-HIT),”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Atherosclerosis,</w:t>
      </w:r>
      <w:r>
        <w:rPr>
          <w:rFonts w:eastAsia="Arial" w:cs="Arial" w:ascii="Arial" w:hAnsi="Arial"/>
          <w:spacing w:val="123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vol. 194,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no. 1,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pp. 169–174, 2007.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257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Chun-Jian Qiu </w:t>
      </w:r>
      <w:r>
        <w:rPr>
          <w:rFonts w:ascii="Arial" w:hAnsi="Arial"/>
          <w:sz w:val="16"/>
          <w:szCs w:val="16"/>
        </w:rPr>
        <w:t>,</w:t>
      </w:r>
      <w:r>
        <w:rPr>
          <w:rFonts w:ascii="Arial" w:hAnsi="Arial"/>
          <w:spacing w:val="-1"/>
          <w:sz w:val="16"/>
          <w:szCs w:val="16"/>
        </w:rPr>
        <w:t xml:space="preserve"> Xiao-Zheng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Ye, Xiao-Juan Yu, Xiao-Ren Peng, Tong-Huan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Li.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Association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between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FABP2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Ala54Thr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pacing w:val="100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2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mellitus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HuGE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Meta-Analysis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Cell Mol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Med. 2014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Dec;18(12):2530-5.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Dayana Rodrigues Farias,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Nadya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Helena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Alves-Santos,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Ilana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Eshriqui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Leptin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 polymorphism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(rs7799039; G2548A)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is associated with</w:t>
      </w:r>
      <w:r>
        <w:rPr>
          <w:rFonts w:ascii="Arial" w:hAnsi="Arial"/>
          <w:i/>
          <w:spacing w:val="13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changes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serum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lipid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concentrations during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pregnancy: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prospective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cohort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Eur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Nutr. 2020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Crider et al. (2011).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677C-&gt;T genotype is 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folate 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homocysteine</w:t>
      </w:r>
      <w:r>
        <w:rPr>
          <w:rFonts w:ascii="Arial" w:hAnsi="Arial"/>
          <w:i/>
          <w:sz w:val="16"/>
          <w:szCs w:val="16"/>
        </w:rPr>
        <w:t xml:space="preserve"> concentrations</w:t>
      </w:r>
      <w:r>
        <w:rPr>
          <w:rFonts w:ascii="Arial" w:hAnsi="Arial"/>
          <w:i/>
          <w:spacing w:val="-1"/>
          <w:sz w:val="16"/>
          <w:szCs w:val="16"/>
        </w:rPr>
        <w:t xml:space="preserve"> in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large,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population-based, double-</w:t>
      </w:r>
      <w:r>
        <w:rPr>
          <w:rFonts w:ascii="Arial" w:hAnsi="Arial"/>
          <w:i/>
          <w:spacing w:val="60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blind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trial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folic acid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supplementation.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Am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Clin Nutr. 93(6):1365-1372.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Chibo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Liu </w:t>
      </w:r>
      <w:r>
        <w:rPr>
          <w:rFonts w:ascii="Arial" w:hAnsi="Arial"/>
          <w:sz w:val="16"/>
          <w:szCs w:val="16"/>
        </w:rPr>
        <w:t xml:space="preserve">, </w:t>
      </w:r>
      <w:r>
        <w:rPr>
          <w:rFonts w:ascii="Arial" w:hAnsi="Arial"/>
          <w:spacing w:val="-1"/>
          <w:sz w:val="16"/>
          <w:szCs w:val="16"/>
        </w:rPr>
        <w:t>Sihua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Mou,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Chunqin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Pan.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FTO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rs9939609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predicts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disease: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systematic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56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meta-analysis.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PLoS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One. 2013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 19;8(8):e71901.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257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Warodomwichit et al. (2009).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ADIPOQ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polymorphisms,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monounsaturated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fatty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acids,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obesity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GOLDN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Obesity 17(3): 510-</w:t>
      </w:r>
      <w:r>
        <w:rPr>
          <w:rFonts w:ascii="Arial" w:hAnsi="Arial"/>
          <w:spacing w:val="10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517</w:t>
      </w:r>
    </w:p>
    <w:p>
      <w:pPr>
        <w:pStyle w:val="Normal"/>
        <w:spacing w:lineRule="auto" w:line="240" w:before="2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596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Hivert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(2008).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Common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variants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(ADIPOQ)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plasma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levels,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2 </w:t>
      </w:r>
      <w:r>
        <w:rPr>
          <w:rFonts w:ascii="Arial" w:hAnsi="Arial"/>
          <w:i/>
          <w:spacing w:val="-1"/>
          <w:sz w:val="16"/>
          <w:szCs w:val="16"/>
        </w:rPr>
        <w:t>diabetes,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07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diabetes-related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quantitative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traits: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Framingham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Offspring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Diabetes</w:t>
      </w:r>
      <w:r>
        <w:rPr>
          <w:rFonts w:ascii="Arial" w:hAnsi="Arial"/>
          <w:spacing w:val="-5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57(12):</w:t>
      </w:r>
      <w:r>
        <w:rPr>
          <w:rFonts w:ascii="Arial" w:hAnsi="Arial"/>
          <w:spacing w:val="-4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3353-3359</w:t>
      </w:r>
    </w:p>
    <w:p>
      <w:pPr>
        <w:pStyle w:val="Normal"/>
        <w:spacing w:lineRule="auto" w:line="240"/>
        <w:ind w:left="108" w:right="596" w:hanging="0"/>
        <w:rPr>
          <w:rFonts w:ascii="Arial" w:hAnsi="Arial"/>
          <w:spacing w:val="-1"/>
        </w:rPr>
      </w:pPr>
      <w:r>
        <w:rPr>
          <w:rFonts w:ascii="Arial" w:hAnsi="Arial"/>
          <w:spacing w:val="-1"/>
        </w:rPr>
      </w:r>
    </w:p>
    <w:p>
      <w:pPr>
        <w:pStyle w:val="Normal"/>
        <w:spacing w:lineRule="auto" w:line="240" w:before="20" w:after="0"/>
        <w:ind w:left="108" w:right="620" w:hanging="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Mahley RW.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Apolipoprotein </w:t>
      </w:r>
      <w:r>
        <w:rPr>
          <w:rFonts w:ascii="Arial" w:hAnsi="Arial"/>
          <w:i/>
          <w:color w:val="202020"/>
          <w:sz w:val="16"/>
          <w:szCs w:val="16"/>
        </w:rPr>
        <w:t>E: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from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cardiovascular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disease </w:t>
      </w:r>
      <w:r>
        <w:rPr>
          <w:rFonts w:ascii="Arial" w:hAnsi="Arial"/>
          <w:i/>
          <w:color w:val="202020"/>
          <w:sz w:val="16"/>
          <w:szCs w:val="16"/>
        </w:rPr>
        <w:t>to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neurodegenerative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disorders.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J</w:t>
      </w:r>
      <w:r>
        <w:rPr>
          <w:rFonts w:ascii="Arial" w:hAnsi="Arial"/>
          <w:color w:val="202020"/>
          <w:spacing w:val="-1"/>
          <w:sz w:val="16"/>
          <w:szCs w:val="16"/>
        </w:rPr>
        <w:t xml:space="preserve"> Mol Med (Berl). 2016 Jul;94(7):739-46. </w:t>
      </w:r>
    </w:p>
    <w:p>
      <w:pPr>
        <w:pStyle w:val="Normal"/>
        <w:spacing w:lineRule="auto" w:line="240" w:before="20" w:after="0"/>
        <w:ind w:left="108" w:right="620" w:hanging="0"/>
        <w:rPr>
          <w:rFonts w:ascii="Arial" w:hAnsi="Arial"/>
          <w:color w:val="202020"/>
          <w:spacing w:val="-1"/>
        </w:rPr>
      </w:pPr>
      <w:r>
        <w:rPr>
          <w:rFonts w:ascii="Arial" w:hAnsi="Arial"/>
          <w:color w:val="202020"/>
          <w:spacing w:val="-1"/>
        </w:rPr>
      </w:r>
    </w:p>
    <w:p>
      <w:pPr>
        <w:pStyle w:val="Normal"/>
        <w:spacing w:lineRule="auto" w:line="240" w:before="20" w:after="0"/>
        <w:ind w:left="108" w:right="620" w:hanging="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Iwai</w:t>
      </w:r>
      <w:r>
        <w:rPr>
          <w:rFonts w:ascii="Arial" w:hAnsi="Arial"/>
          <w:color w:val="202020"/>
          <w:spacing w:val="102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C,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Akita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Kanazawa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K, </w:t>
      </w:r>
      <w:r>
        <w:rPr>
          <w:rFonts w:ascii="Arial" w:hAnsi="Arial"/>
          <w:color w:val="202020"/>
          <w:spacing w:val="-1"/>
          <w:sz w:val="16"/>
          <w:szCs w:val="16"/>
        </w:rPr>
        <w:t>Shiga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N, </w:t>
      </w:r>
      <w:r>
        <w:rPr>
          <w:rFonts w:ascii="Arial" w:hAnsi="Arial"/>
          <w:color w:val="202020"/>
          <w:spacing w:val="-1"/>
          <w:sz w:val="16"/>
          <w:szCs w:val="16"/>
        </w:rPr>
        <w:t>Terashima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Matsuda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Takai</w:t>
      </w:r>
      <w:r>
        <w:rPr>
          <w:rFonts w:ascii="Arial" w:hAnsi="Arial"/>
          <w:color w:val="202020"/>
          <w:sz w:val="16"/>
          <w:szCs w:val="16"/>
        </w:rPr>
        <w:t xml:space="preserve"> E, </w:t>
      </w:r>
      <w:r>
        <w:rPr>
          <w:rFonts w:ascii="Arial" w:hAnsi="Arial"/>
          <w:color w:val="202020"/>
          <w:spacing w:val="-1"/>
          <w:sz w:val="16"/>
          <w:szCs w:val="16"/>
        </w:rPr>
        <w:t>Miyamoto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Shimizu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Kajiya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Hayashi</w:t>
      </w:r>
      <w:r>
        <w:rPr>
          <w:rFonts w:ascii="Arial" w:hAnsi="Arial"/>
          <w:color w:val="202020"/>
          <w:sz w:val="16"/>
          <w:szCs w:val="16"/>
        </w:rPr>
        <w:t xml:space="preserve"> 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Yokoyama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M.</w:t>
      </w:r>
    </w:p>
    <w:p>
      <w:pPr>
        <w:pStyle w:val="Normal"/>
        <w:spacing w:lineRule="auto" w:line="240"/>
        <w:ind w:left="108" w:hanging="0"/>
        <w:rPr>
          <w:sz w:val="16"/>
          <w:szCs w:val="16"/>
        </w:rPr>
      </w:pPr>
      <w:r>
        <w:rPr>
          <w:rFonts w:ascii="Arial" w:hAnsi="Arial"/>
          <w:i/>
          <w:color w:val="202020"/>
          <w:spacing w:val="-1"/>
          <w:sz w:val="16"/>
          <w:szCs w:val="16"/>
        </w:rPr>
        <w:t>Arg389Gly polymorphism</w:t>
      </w:r>
      <w:r>
        <w:rPr>
          <w:rFonts w:ascii="Arial" w:hAnsi="Arial"/>
          <w:i/>
          <w:color w:val="202020"/>
          <w:sz w:val="16"/>
          <w:szCs w:val="16"/>
        </w:rPr>
        <w:t xml:space="preserve"> of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the human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beta1-adrenergic receptor</w:t>
      </w:r>
      <w:r>
        <w:rPr>
          <w:rFonts w:ascii="Arial" w:hAnsi="Arial"/>
          <w:i/>
          <w:color w:val="202020"/>
          <w:sz w:val="16"/>
          <w:szCs w:val="16"/>
        </w:rPr>
        <w:t xml:space="preserve"> in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patients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with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nonfatal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acute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myocardial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infarction.</w:t>
      </w:r>
      <w:r>
        <w:rPr>
          <w:rFonts w:ascii="Arial" w:hAnsi="Arial"/>
          <w:i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Am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Heart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J.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2003</w:t>
      </w:r>
    </w:p>
    <w:p>
      <w:pPr>
        <w:pStyle w:val="Normal"/>
        <w:spacing w:lineRule="auto" w:line="240" w:before="29" w:after="0"/>
        <w:ind w:left="108" w:hanging="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Jul;146(1):106-9.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12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Willer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(2009).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Six new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loci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mass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index highlight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neuronal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influence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 weight regulation.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Genet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41(1):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25-</w:t>
      </w:r>
      <w:r>
        <w:rPr>
          <w:rFonts w:ascii="Arial" w:hAnsi="Arial"/>
          <w:spacing w:val="121"/>
          <w:sz w:val="16"/>
          <w:szCs w:val="16"/>
        </w:rPr>
        <w:t xml:space="preserve"> </w:t>
      </w:r>
      <w:r>
        <w:rPr>
          <w:rFonts w:ascii="Arial" w:hAnsi="Arial"/>
          <w:spacing w:val="-4"/>
          <w:sz w:val="16"/>
          <w:szCs w:val="16"/>
        </w:rPr>
        <w:t>34</w:t>
      </w:r>
    </w:p>
    <w:p>
      <w:pPr>
        <w:pStyle w:val="Normal"/>
        <w:spacing w:lineRule="auto" w:line="276"/>
        <w:ind w:left="108" w:right="112" w:hanging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76"/>
        <w:ind w:left="108" w:right="112" w:hanging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3"/>
        <w:gridCol w:w="2209"/>
        <w:gridCol w:w="1847"/>
        <w:gridCol w:w="2318"/>
        <w:gridCol w:w="2512"/>
      </w:tblGrid>
      <w:tr>
        <w:trPr>
          <w:trHeight w:val="1262" w:hRule="exact"/>
        </w:trPr>
        <w:tc>
          <w:tcPr>
            <w:tcW w:w="1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left="32" w:hanging="0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left="33" w:right="592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  <w:bookmarkStart w:id="16" w:name="_Hlk83980272"/>
            <w:bookmarkEnd w:id="16"/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51" w:footer="388" w:bottom="9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0" w:after="0"/>
      <w:ind w:left="108" w:hanging="0"/>
      <w:outlineLvl w:val="1"/>
    </w:pPr>
    <w:rPr>
      <w:rFonts w:ascii="Calibri" w:hAnsi="Calibri" w:eastAsia="Calibri"/>
      <w:b/>
      <w:bCs/>
    </w:rPr>
  </w:style>
  <w:style w:type="paragraph" w:styleId="Heading3">
    <w:name w:val="Heading 3"/>
    <w:basedOn w:val="Normal"/>
    <w:uiPriority w:val="9"/>
    <w:unhideWhenUsed/>
    <w:qFormat/>
    <w:pPr>
      <w:ind w:left="108" w:hanging="0"/>
      <w:outlineLvl w:val="2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217c8c"/>
    <w:rPr/>
  </w:style>
  <w:style w:type="character" w:styleId="PidipaginaCarattere" w:customStyle="1">
    <w:name w:val="Piè di pagina Carattere"/>
    <w:basedOn w:val="DefaultParagraphFont"/>
    <w:uiPriority w:val="99"/>
    <w:qFormat/>
    <w:rsid w:val="00217c8c"/>
    <w:rPr/>
  </w:style>
  <w:style w:type="character" w:styleId="PlaceholderText">
    <w:name w:val="Placeholder Text"/>
    <w:basedOn w:val="DefaultParagraphFont"/>
    <w:uiPriority w:val="99"/>
    <w:semiHidden/>
    <w:qFormat/>
    <w:rsid w:val="00f474bf"/>
    <w:rPr>
      <w:color w:val="80808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8" w:hanging="0"/>
    </w:pPr>
    <w:rPr>
      <w:rFonts w:ascii="Arial" w:hAnsi="Arial" w:eastAsia="Arial"/>
      <w:sz w:val="2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405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Application>LibreOffice/7.3.7.2$Linux_X86_64 LibreOffice_project/30$Build-2</Application>
  <AppVersion>15.0000</AppVersion>
  <Pages>7</Pages>
  <Words>1188</Words>
  <Characters>7329</Characters>
  <CharactersWithSpaces>8391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2021-09-15T14:13:00Z</dcterms:created>
  <dc:creator/>
  <dc:description/>
  <dc:language>en-US</dc:language>
  <cp:lastModifiedBy/>
  <dcterms:modified xsi:type="dcterms:W3CDTF">2024-10-25T09:39:24Z</dcterms:modified>
  <cp:revision>87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2021-09-15T00:00:00Z</vt:filetime>
  </property>
  <property fmtid="{D5CDD505-2E9C-101B-9397-08002B2CF9AE}" pid="3" name="LastSaved">
    <vt:filetime>2021-09-15T00:00:00Z</vt:filetime>
  </property>
</Properties>
</file>