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490" w:right="608" w:hanging="0"/>
        <w:jc w:val="center"/>
        <w:rPr/>
      </w:pPr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ALLA SINDROME METABOLICA</w:t>
      </w:r>
    </w:p>
    <w:p>
      <w:pPr>
        <w:pStyle w:val="Normal"/>
        <w:spacing w:lineRule="exact" w:line="386"/>
        <w:ind w:right="608" w:hanging="0"/>
        <w:jc w:val="center"/>
        <w:rPr>
          <w:sz w:val="32"/>
        </w:rPr>
      </w:pPr>
      <w:r>
        <w:rPr>
          <w:sz w:val="32"/>
        </w:rPr>
        <w:t>INTOLLERANZA AL LATTOSIO</w:t>
      </w:r>
    </w:p>
    <w:p>
      <w:pPr>
        <w:pStyle w:val="Normal"/>
        <w:spacing w:before="284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 xml:space="preserve">alta predisposizione genetica alla Sindrome Metabolica. </w:t>
      </w:r>
    </w:p>
    <w:p>
      <w:pPr>
        <w:pStyle w:val="TextBody"/>
        <w:spacing w:before="243" w:after="0"/>
        <w:ind w:left="239" w:hanging="0"/>
        <w:rPr/>
      </w:pPr>
      <w:r>
        <w:rPr/>
        <w:t>Ciò</w:t>
      </w:r>
      <w:r>
        <w:rPr>
          <w:spacing w:val="-8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questa</w:t>
      </w:r>
      <w:r>
        <w:rPr>
          <w:spacing w:val="-7"/>
        </w:rPr>
        <w:t xml:space="preserve"> </w:t>
      </w:r>
      <w:r>
        <w:rPr/>
        <w:t>patologia</w:t>
      </w:r>
      <w:r>
        <w:rPr>
          <w:spacing w:val="-8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6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6"/>
        </w:rPr>
        <w:t xml:space="preserve"> </w:t>
      </w:r>
      <w:r>
        <w:rPr>
          <w:spacing w:val="-2"/>
        </w:rPr>
        <w:t>media.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 xml:space="preserve">La </w:t>
      </w:r>
      <w:r>
        <w:rPr>
          <w:i/>
        </w:rPr>
        <w:t>sindrome metabolica</w:t>
      </w:r>
      <w:r>
        <w:rPr/>
        <w:t xml:space="preserve"> è una condizione caratterizzata dalla combinazione di diversi fattori di rischio metabolico, come obesità addominale, ipertensione, iperglicemia, e dislipidemia.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3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3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4" w:after="0"/>
        <w:ind w:left="239" w:right="14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8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3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2"/>
        </w:rPr>
        <w:t xml:space="preserve"> </w:t>
      </w:r>
      <w:r>
        <w:rPr/>
        <w:t>g</w:t>
      </w:r>
      <w:r>
        <w:rPr>
          <w:spacing w:val="19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4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ind w:left="239" w:hanging="0"/>
        <w:rPr/>
      </w:pPr>
      <w:r>
        <w:rPr/>
      </w:r>
    </w:p>
    <w:p>
      <w:pPr>
        <w:pStyle w:val="Normal"/>
        <w:widowControl/>
        <w:ind w:left="239" w:hanging="0"/>
        <w:rPr>
          <w:rFonts w:eastAsia="Calibri" w:eastAsiaTheme="minorHAnsi"/>
          <w:color w:val="000000"/>
          <w:sz w:val="20"/>
          <w:szCs w:val="20"/>
        </w:rPr>
      </w:pPr>
      <w:r>
        <w:rPr>
          <w:rFonts w:eastAsia="Calibri" w:eastAsiaTheme="minorHAnsi"/>
          <w:color w:val="000000"/>
          <w:sz w:val="20"/>
          <w:szCs w:val="20"/>
        </w:rPr>
        <w:t xml:space="preserve">Il tuo profilo genetico ha evidenziato una predisposizione genetica all’Intolleranza al </w:t>
      </w:r>
      <w:r>
        <w:rPr>
          <w:rFonts w:eastAsia="Calibri" w:eastAsiaTheme="minorHAnsi"/>
          <w:b/>
          <w:bCs/>
          <w:color w:val="000000"/>
          <w:sz w:val="20"/>
          <w:szCs w:val="20"/>
        </w:rPr>
        <w:t xml:space="preserve">Lattosio. </w:t>
      </w:r>
    </w:p>
    <w:p>
      <w:pPr>
        <w:pStyle w:val="Normal"/>
        <w:widowControl/>
        <w:ind w:left="239" w:hanging="0"/>
        <w:rPr>
          <w:rFonts w:eastAsia="Calibri" w:eastAsiaTheme="minorHAnsi"/>
          <w:color w:val="000000"/>
          <w:sz w:val="20"/>
          <w:szCs w:val="20"/>
        </w:rPr>
      </w:pPr>
      <w:r>
        <w:rPr>
          <w:rFonts w:eastAsia="Calibri" w:eastAsiaTheme="minorHAnsi"/>
          <w:color w:val="000000"/>
          <w:sz w:val="20"/>
          <w:szCs w:val="20"/>
        </w:rPr>
        <w:t xml:space="preserve">La tua probabilità di sviluppare questa intolleranza è più alta rispetto alla popolazione media. </w:t>
      </w:r>
    </w:p>
    <w:p>
      <w:pPr>
        <w:pStyle w:val="TextBody"/>
        <w:ind w:left="239" w:hanging="0"/>
        <w:rPr/>
      </w:pPr>
      <w:r>
        <w:rPr>
          <w:rFonts w:eastAsia="Calibri" w:eastAsiaTheme="minorHAnsi"/>
          <w:color w:val="00000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spacing w:before="34" w:after="1"/>
        <w:rPr/>
      </w:pPr>
      <w:r>
        <w:rPr/>
      </w:r>
    </w:p>
    <w:p>
      <w:pPr>
        <w:pStyle w:val="TextBody"/>
        <w:spacing w:before="34" w:after="1"/>
        <w:rPr/>
      </w:pPr>
      <w:r>
        <w:rPr/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3" w:right="479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70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 T: max 2  volte a settimana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spacing w:val="-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bianco,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polpettine di pesce bianco o azzurro, pesce 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 filetto di tonno o salmone,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alici, salmone affumicato, tonno in scatola, burger di pesce bianco o azzurro, trota, sgombro fresco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aringa, sgombro in scatola, pesce impanato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5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 coniglio, agnello, polpette di carne bianca, arista di maiale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 magro, bresaola, cotoletta  di carne bianca, hamburger di carne bianca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eastAsia="en-US" w:bidi="ar-SA"/>
              </w:rPr>
              <w:t>Filetto di carne rossa, roast beef, salsicce, wurstel, salame, mortadella, coppa, speck, cotoletta di carne rossa, prosciutto cotto, fesa di tacchino, prosciutto crudo, nuggets di pollo</w:t>
            </w:r>
          </w:p>
        </w:tc>
      </w:tr>
      <w:tr>
        <w:trPr>
          <w:trHeight w:val="158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bookmarkStart w:id="0" w:name="_GoBack"/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Latte delattosato, yogurt bianco senza lattosio, fiocchi di latte senza lattosio, ricotta senza lattosio, primo sale senza lattosio</w:t>
            </w:r>
          </w:p>
          <w:p>
            <w:pPr>
              <w:pStyle w:val="TableParagraph"/>
              <w:widowControl w:val="false"/>
              <w:spacing w:before="265" w:after="0"/>
              <w:ind w:left="254" w:right="90" w:hanging="6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Formaggi freschi semi- magri possibilmente senza lattosio, mozzarella senza lattosio, fiordilatte senza lattosio, formaggi spalmabili senza lattosio, reggiano, pecorino, caprino senza lattosio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Scamorze,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Caprino,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burrata, formaggi spalmabili, stracciatella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bookmarkStart w:id="1" w:name="_GoBack"/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provolone, sottilette senza lattosio</w:t>
            </w:r>
            <w:bookmarkEnd w:id="1"/>
          </w:p>
        </w:tc>
      </w:tr>
      <w:tr>
        <w:trPr>
          <w:trHeight w:val="21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Edamame,</w:t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252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Frittata, strapazzate, in camicia, sode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Uovo al tegamino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Uovo fritto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8" w:right="520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02" w:right="20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 integrale , farro, riso rosso, riso venere, riso basmati, riso thai, riso selvatico, riso integrale , cracker integrali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Orzo, segale, avena, mais giallo, pasta di semola, miglio, kamut,  cracker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patate, patate dolci, grissini, gallette di mais, gallette di riso, merendine e dolci in genere</w:t>
            </w:r>
          </w:p>
        </w:tc>
      </w:tr>
      <w:tr>
        <w:trPr>
          <w:trHeight w:val="312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pacing w:val="-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 amaranto, canapa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gallette 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 pasta di legumi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 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7" w:right="125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 bianche, lamponi, ribes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 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9" w:right="117" w:hanging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 arance,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ananas, banana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6" w:right="168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 pesche gialle, cocco</w:t>
            </w:r>
          </w:p>
        </w:tc>
      </w:tr>
    </w:tbl>
    <w:p>
      <w:pPr>
        <w:pStyle w:val="TextBody"/>
        <w:spacing w:before="197" w:after="1"/>
        <w:rPr>
          <w:b/>
          <w:b/>
        </w:rPr>
      </w:pPr>
      <w:r>
        <w:rPr>
          <w:b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23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987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 tonno,        pesce spada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 margarina, lardo, insaccati, formaggi grassi, carboidrati raffinati, fritture, maionese</w:t>
            </w:r>
          </w:p>
        </w:tc>
      </w:tr>
    </w:tbl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spacing w:before="34" w:after="0"/>
        <w:ind w:left="239" w:hanging="0"/>
        <w:rPr/>
      </w:pPr>
      <w:r>
        <w:rPr>
          <w:i/>
          <w:iCs/>
          <w:szCs w:val="22"/>
        </w:rPr>
        <w:t>Verdure consigliate in base al tuo profilo genetico</w:t>
      </w:r>
      <w:r>
        <w:rPr>
          <w:szCs w:val="22"/>
        </w:rPr>
        <w:t xml:space="preserve">: </w:t>
      </w:r>
      <w:r>
        <w:rPr/>
        <w:t>spinaci, cavolo riccio, bietole, lattuga romana, rucola, broccoli, cavolfiore, cavoletti di Bruxelles, cavolo cappuccio, rapa, zucchine, cetrioli, peperoni, asparagi, funghi, sedano, melanzane, pomodori, carote.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  <w:r>
        <w:rPr/>
        <w:t xml:space="preserve"> 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1C0A376F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676AB622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676AB62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6374ADE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6374AD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1C0A376F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676AB622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676AB62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6374ADE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6374AD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1C0A376F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676AB622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676AB62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6374ADE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6374AD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1C0A376F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676AB622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676AB62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6374ADE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6374AD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722F5C16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22F5C1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722F5C16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22F5C1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722F5C16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22F5C1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722F5C16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722F5C1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79025e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79025e"/>
    <w:pPr>
      <w:spacing w:before="264" w:after="0"/>
      <w:ind w:left="49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79025e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79025e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79025e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79025e"/>
    <w:pPr/>
    <w:rPr/>
  </w:style>
  <w:style w:type="paragraph" w:styleId="Default" w:customStyle="1">
    <w:name w:val="Default"/>
    <w:qFormat/>
    <w:rsid w:val="0079025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79025e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4</Pages>
  <Words>1249</Words>
  <Characters>7329</Characters>
  <CharactersWithSpaces>8468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2024-09-23T13:31:00Z</dcterms:created>
  <dc:creator>utente</dc:creator>
  <dc:description/>
  <dc:language>en-US</dc:language>
  <cp:lastModifiedBy/>
  <dcterms:modified xsi:type="dcterms:W3CDTF">2024-10-28T10:48:22Z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