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6" w:before="274" w:after="0"/>
        <w:ind w:left="490" w:right="608" w:hanging="0"/>
        <w:jc w:val="center"/>
        <w:rPr/>
      </w:pPr>
      <w:r>
        <w:rPr>
          <w:spacing w:val="-2"/>
        </w:rPr>
        <w:t>INDICAZIONI</w:t>
      </w:r>
      <w:r>
        <w:rPr>
          <w:spacing w:val="-6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6"/>
        <w:ind w:left="492" w:right="608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5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ALLA SINDROME METABOLICA</w:t>
      </w:r>
    </w:p>
    <w:p>
      <w:pPr>
        <w:pStyle w:val="Normal"/>
        <w:spacing w:before="284" w:after="0"/>
        <w:ind w:left="239" w:hanging="0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 xml:space="preserve">lieve predisposizione genetica alla Sindrome Metabolica. </w:t>
      </w:r>
    </w:p>
    <w:p>
      <w:pPr>
        <w:pStyle w:val="TextBody"/>
        <w:spacing w:before="243" w:after="0"/>
        <w:ind w:left="239" w:hanging="0"/>
        <w:rPr/>
      </w:pPr>
      <w:r>
        <w:rPr/>
        <w:t>Ciò</w:t>
      </w:r>
      <w:r>
        <w:rPr>
          <w:spacing w:val="-8"/>
        </w:rPr>
        <w:t xml:space="preserve"> </w:t>
      </w:r>
      <w:r>
        <w:rPr/>
        <w:t>vuol</w:t>
      </w:r>
      <w:r>
        <w:rPr>
          <w:spacing w:val="-7"/>
        </w:rPr>
        <w:t xml:space="preserve"> </w:t>
      </w:r>
      <w:r>
        <w:rPr/>
        <w:t>dire</w:t>
      </w:r>
      <w:r>
        <w:rPr>
          <w:spacing w:val="-8"/>
        </w:rPr>
        <w:t xml:space="preserve"> </w:t>
      </w:r>
      <w:r>
        <w:rPr/>
        <w:t>che</w:t>
      </w:r>
      <w:r>
        <w:rPr>
          <w:spacing w:val="-8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tua</w:t>
      </w:r>
      <w:r>
        <w:rPr>
          <w:spacing w:val="-4"/>
        </w:rPr>
        <w:t xml:space="preserve"> </w:t>
      </w:r>
      <w:r>
        <w:rPr/>
        <w:t>probabilità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sviluppare</w:t>
      </w:r>
      <w:r>
        <w:rPr>
          <w:spacing w:val="-7"/>
        </w:rPr>
        <w:t xml:space="preserve"> </w:t>
      </w:r>
      <w:r>
        <w:rPr/>
        <w:t>questa</w:t>
      </w:r>
      <w:r>
        <w:rPr>
          <w:spacing w:val="-7"/>
        </w:rPr>
        <w:t xml:space="preserve"> </w:t>
      </w:r>
      <w:r>
        <w:rPr/>
        <w:t>patologia</w:t>
      </w:r>
      <w:r>
        <w:rPr>
          <w:spacing w:val="-8"/>
        </w:rPr>
        <w:t xml:space="preserve"> </w:t>
      </w:r>
      <w:r>
        <w:rPr/>
        <w:t>è</w:t>
      </w:r>
      <w:r>
        <w:rPr>
          <w:spacing w:val="-8"/>
        </w:rPr>
        <w:t xml:space="preserve"> </w:t>
      </w:r>
      <w:r>
        <w:rPr/>
        <w:t>più</w:t>
      </w:r>
      <w:r>
        <w:rPr>
          <w:spacing w:val="-6"/>
        </w:rPr>
        <w:t xml:space="preserve"> </w:t>
      </w:r>
      <w:r>
        <w:rPr/>
        <w:t>alta</w:t>
      </w:r>
      <w:r>
        <w:rPr>
          <w:spacing w:val="-8"/>
        </w:rPr>
        <w:t xml:space="preserve"> </w:t>
      </w:r>
      <w:r>
        <w:rPr/>
        <w:t>rispetto</w:t>
      </w:r>
      <w:r>
        <w:rPr>
          <w:spacing w:val="-6"/>
        </w:rPr>
        <w:t xml:space="preserve"> </w:t>
      </w:r>
      <w:r>
        <w:rPr/>
        <w:t>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6"/>
        </w:rPr>
        <w:t xml:space="preserve"> </w:t>
      </w:r>
      <w:r>
        <w:rPr>
          <w:spacing w:val="-2"/>
        </w:rPr>
        <w:t>media.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 xml:space="preserve">La </w:t>
      </w:r>
      <w:r>
        <w:rPr>
          <w:i/>
        </w:rPr>
        <w:t>sindrome metabolica</w:t>
      </w:r>
      <w:r>
        <w:rPr/>
        <w:t xml:space="preserve"> è una condizione caratterizzata dalla combinazione di diversi fattori di rischio metabolico, come obesità addominale, ipertensione, iperglicemia, e dislipidemia.</w:t>
      </w:r>
    </w:p>
    <w:p>
      <w:pPr>
        <w:pStyle w:val="TextBody"/>
        <w:rPr/>
      </w:pPr>
      <w:r>
        <w:rPr/>
      </w:r>
    </w:p>
    <w:p>
      <w:pPr>
        <w:pStyle w:val="TextBody"/>
        <w:ind w:left="239" w:hanging="0"/>
        <w:rPr/>
      </w:pPr>
      <w:r>
        <w:rPr/>
        <w:t>Nei bambini, non esiste una definizione specifica adatta alla loro età. Tuttavia, si cerca di diagnosticarla utilizzando gli stessi criteri applicati agli adulti, oppure adottando criteri personalizzati per i giovani pazienti.</w:t>
      </w:r>
    </w:p>
    <w:p>
      <w:pPr>
        <w:pStyle w:val="TextBody"/>
        <w:ind w:left="239" w:hanging="0"/>
        <w:rPr/>
      </w:pPr>
      <w:r>
        <w:rPr/>
      </w:r>
    </w:p>
    <w:p>
      <w:pPr>
        <w:pStyle w:val="TextBody"/>
        <w:ind w:left="239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3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1"/>
        </w:rPr>
        <w:t xml:space="preserve"> </w:t>
      </w:r>
      <w:r>
        <w:rPr/>
        <w:t>zuccheri</w:t>
      </w:r>
      <w:r>
        <w:rPr>
          <w:spacing w:val="25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3"/>
        </w:rPr>
        <w:t xml:space="preserve"> </w:t>
      </w:r>
      <w:r>
        <w:rPr/>
        <w:t>glicemico</w:t>
      </w:r>
      <w:r>
        <w:rPr>
          <w:spacing w:val="29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4" w:after="0"/>
        <w:ind w:left="239" w:right="142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39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9"/>
        </w:rPr>
        <w:t xml:space="preserve"> </w:t>
      </w:r>
      <w:r>
        <w:rPr/>
        <w:t>anche</w:t>
      </w:r>
      <w:r>
        <w:rPr>
          <w:spacing w:val="-11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8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0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1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 xml:space="preserve"> 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rPr/>
      </w:pPr>
      <w:r>
        <w:rPr/>
      </w:r>
    </w:p>
    <w:p>
      <w:pPr>
        <w:pStyle w:val="TextBody"/>
        <w:spacing w:before="34" w:after="1"/>
        <w:rPr/>
      </w:pPr>
      <w:r>
        <w:rPr/>
      </w: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jc w:val="left"/>
              <w:rPr>
                <w:sz w:val="2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maggiormente consentito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consono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assunti,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 cui consumo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 consentito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 non sono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perfettamente adeguati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 genetico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 comunque, in quantità adeguata ai propri fabbisogni.</w:t>
            </w:r>
          </w:p>
        </w:tc>
      </w:tr>
      <w:tr>
        <w:trPr>
          <w:trHeight w:val="1390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jc w:val="left"/>
              <w:rPr>
                <w:sz w:val="28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  <w:lang w:val="it-IT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  <w:lang w:val="it-IT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0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3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3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3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jc w:val="left"/>
              <w:rPr>
                <w:rFonts w:ascii="Arial MT" w:hAnsi="Arial MT"/>
                <w:sz w:val="20"/>
                <w:lang w:val="it-IT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raccomanda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una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assunzione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nella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quantità 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635" w:bottom="82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Heading1"/>
        <w:ind w:left="647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6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6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37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38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3" w:right="479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81" w:after="0"/>
              <w:ind w:left="136" w:right="550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2" w:right="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3"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bianco (es: merluzzo o sogliola), filetto di salmone, filetto di tonno, pesce spada, polpettine di pesce bianco o azzurro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15" w:right="115" w:hanging="0"/>
              <w:jc w:val="center"/>
              <w:rPr>
                <w:spacing w:val="-2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 tonno al naturale,</w:t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spacing w:val="-2"/>
                <w:kern w:val="0"/>
                <w:sz w:val="22"/>
                <w:szCs w:val="22"/>
                <w:lang w:val="it-IT" w:eastAsia="en-US" w:bidi="ar-SA"/>
              </w:rPr>
              <w:t>sardine, trota, sgombro fresco, burger di pesce bianco o azzurro, salmone affumicato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8" w:after="0"/>
              <w:ind w:left="13" w:right="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66" w:right="356" w:hanging="2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 salmone),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sgombro in</w:t>
            </w:r>
          </w:p>
          <w:p>
            <w:pPr>
              <w:pStyle w:val="TableParagraph"/>
              <w:widowControl w:val="false"/>
              <w:spacing w:lineRule="exact" w:line="265" w:before="0" w:after="0"/>
              <w:ind w:left="13" w:hanging="0"/>
              <w:jc w:val="center"/>
              <w:rPr>
                <w:spacing w:val="-15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scatola, anguilla, aringa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  <w:lang w:val="it-IT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pacing w:val="40"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 max 2 volte a settimana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Tacchino, pollo, vitello, coniglio, agnello, arista di maiale, polpettine di carne bianca, hamburger di carne bianca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Hamburger o macinato di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arrosto di pollo o tacchino, fesa di tacchino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bresaola, prosciutto crudo,  prosciutto cotto, cotoletta di carne bianca, nuggets di pollo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58" w:after="0"/>
              <w:ind w:left="203" w:right="192" w:hanging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Filetto di carne rossa, hamburger di manzo, roast beef, salsicce, coppa, wurstel, mortadella, salame, speck, carne essiccata, cotoletta di carne rossa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0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4" w:right="90" w:hanging="6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Fiocchi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ricotta, primo sale, mozzarella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, formaggi spalmabili light, stracchino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9" w:right="139" w:firstLine="6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 magri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(Cottage,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Quark),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formaggio di grana e formaggi duri di montagna, feta, mozzarella di bufala, sottilette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"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Caciotta, Edam,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Caciocavallo,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Provolone,</w:t>
            </w:r>
            <w:r>
              <w:rPr>
                <w:spacing w:val="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Scamorze,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Caprino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crosta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fiorita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stagionata,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Taleggio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Fontina,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burrata, formaggi spalmabili, stracciatella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8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3"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Edamame,</w:t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fagioli bianchi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6" w:after="0"/>
              <w:ind w:left="1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val="it-IT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Frittata, al tegamino, in camicia, sode,</w:t>
            </w:r>
          </w:p>
          <w:p>
            <w:pPr>
              <w:pStyle w:val="TableParagraph"/>
              <w:widowControl w:val="false"/>
              <w:spacing w:before="0" w:after="0"/>
              <w:ind w:right="3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right="105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Uovo fritto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503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8" w:right="520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06" w:right="200" w:hanging="4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Pasta di semola, pasta di semola integrale, orzo mondato, farro, kamut,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basmati, 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thai,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selvatico, riso integrale,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lang w:val="it-IT"/>
              </w:rPr>
            </w:pPr>
            <w:r>
              <w:rPr>
                <w:rFonts w:eastAsia="Calibri"/>
                <w:kern w:val="0"/>
                <w:lang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  <w:lang w:val="it-IT"/>
              </w:rPr>
            </w:pPr>
            <w:r>
              <w:rPr>
                <w:rFonts w:eastAsia="Calibri"/>
                <w:kern w:val="0"/>
                <w:sz w:val="22"/>
                <w:szCs w:val="22"/>
                <w:lang w:val="it-IT" w:eastAsia="en-US" w:bidi="ar-SA"/>
              </w:rPr>
              <w:t>Orzo perlato, segale, avena, avena integrale, mais giallo, miglio, cracker, patate, patate dolci</w:t>
            </w:r>
          </w:p>
          <w:p>
            <w:pPr>
              <w:pStyle w:val="TableParagraph"/>
              <w:widowControl w:val="false"/>
              <w:spacing w:before="265" w:after="0"/>
              <w:ind w:left="112" w:hanging="0"/>
              <w:jc w:val="left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36" w:right="232" w:firstLine="8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 a chicco lungo, grissini, gallette di mais, gallette di riso, merendine e dolci in genere</w:t>
            </w:r>
          </w:p>
        </w:tc>
      </w:tr>
      <w:tr>
        <w:trPr>
          <w:trHeight w:val="312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82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7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quinoa, amaranto, canapa, pasta di legumi, 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gallette 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kern w:val="0"/>
                <w:sz w:val="22"/>
                <w:szCs w:val="22"/>
                <w:lang w:val="it-IT" w:eastAsia="en-US" w:bidi="ar-SA"/>
              </w:rPr>
              <w:t>Merendine e dolci in genere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T: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7" w:right="125" w:firstLine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 bianche, lamponi, ribes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 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papaya, banane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9" w:right="117" w:hanging="6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 arance,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ananas, cocco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76" w:right="168" w:firstLine="1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 uva, fichi, ciliegie, mele, pere,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nespole,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 pesche gialle</w:t>
            </w:r>
          </w:p>
        </w:tc>
      </w:tr>
    </w:tbl>
    <w:p>
      <w:pPr>
        <w:pStyle w:val="TextBody"/>
        <w:spacing w:before="197" w:after="1"/>
        <w:rPr>
          <w:b/>
          <w:b/>
        </w:rPr>
      </w:pPr>
      <w:r>
        <w:rPr>
          <w:b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1" w:right="510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15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23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val="en-US"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987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it-IT"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0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18" w:right="221" w:firstLine="3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 avocado, olio extra vergine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503" w:firstLine="144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Pesce come: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9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  <w:lang w:val="it-IT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987" w:hanging="0"/>
              <w:jc w:val="left"/>
              <w:rPr>
                <w:rFonts w:ascii="Cambria" w:hAnsi="Cambria"/>
                <w:i/>
                <w:i/>
                <w:sz w:val="20"/>
                <w:lang w:val="it-IT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  <w:lang w:val="it-IT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Ketchupe e 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05" w:right="105" w:hanging="0"/>
              <w:jc w:val="center"/>
              <w:rPr>
                <w:lang w:val="it-IT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 margarina, lardo, insaccati, formaggi grassi, carboidrati raffinati, fritture, maionese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635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</w:r>
    </w:p>
    <w:p>
      <w:pPr>
        <w:pStyle w:val="Normal"/>
        <w:spacing w:before="267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spacing w:before="34" w:after="0"/>
        <w:ind w:left="239" w:hanging="0"/>
        <w:rPr/>
      </w:pPr>
      <w:r>
        <w:rPr>
          <w:i/>
          <w:iCs/>
          <w:szCs w:val="22"/>
        </w:rPr>
        <w:t>Verdure consigliate in base al tuo profilo genetico</w:t>
      </w:r>
      <w:r>
        <w:rPr>
          <w:szCs w:val="22"/>
        </w:rPr>
        <w:t xml:space="preserve">: </w:t>
      </w:r>
      <w:r>
        <w:rPr/>
        <w:t>spinaci, cavolo riccio, bietole, lattuga romana, rucola, broccoli, cavolfiore, cavoletti di Bruxelles, cavolo cappuccio, rapa, zucchine, cetrioli, peperoni, asparagi, funghi, sedano, melanzane, pomodori, carote.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ind w:left="239" w:hanging="0"/>
        <w:jc w:val="both"/>
        <w:rPr>
          <w:spacing w:val="-2"/>
        </w:rPr>
      </w:pPr>
      <w:r>
        <w:rPr/>
        <w:t>Per limitare il rischio di insorgenza di Sindrome Metabolica, 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6" w:after="0"/>
        <w:rPr/>
      </w:pPr>
      <w:r>
        <w:rPr/>
      </w:r>
      <w:bookmarkStart w:id="0" w:name="_GoBack"/>
      <w:bookmarkStart w:id="1" w:name="_GoBack"/>
      <w:bookmarkEnd w:id="1"/>
    </w:p>
    <w:p>
      <w:pPr>
        <w:pStyle w:val="TextBody"/>
        <w:ind w:left="239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  <w:r>
        <w:rPr/>
        <w:t xml:space="preserve"> 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5" wp14:anchorId="15E4A4A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 wp14:anchorId="58D0C45C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5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58D0C45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 wp14:anchorId="0528C24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0528C24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3" wp14:anchorId="15E4A4A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 wp14:anchorId="58D0C45C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58D0C45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 wp14:anchorId="0528C24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0528C24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1" wp14:anchorId="15E4A4A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 wp14:anchorId="58D0C45C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58D0C45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 wp14:anchorId="0528C24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0528C24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9" wp14:anchorId="15E4A4A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09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09" y="262255"/>
                              </a:lnTo>
                              <a:lnTo>
                                <a:pt x="676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49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49" y="45720"/>
                              </a:lnTo>
                              <a:lnTo>
                                <a:pt x="6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58D0C45C">
              <wp:simplePos x="0" y="0"/>
              <wp:positionH relativeFrom="page">
                <wp:posOffset>467360</wp:posOffset>
              </wp:positionH>
              <wp:positionV relativeFrom="page">
                <wp:posOffset>10213340</wp:posOffset>
              </wp:positionV>
              <wp:extent cx="3241675" cy="143510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 xml:space="preserve">Roma </w:t>
                          </w:r>
                          <w:r>
                            <w:rPr>
                              <w:i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pt;width:255.2pt;height:11.25pt;mso-wrap-style:square;v-text-anchor:top;mso-position-horizontal-relative:page;mso-position-vertical-relative:page" wp14:anchorId="58D0C45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 xml:space="preserve">Roma </w:t>
                    </w:r>
                    <w:r>
                      <w:rPr>
                        <w:i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0528C24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 wp14:anchorId="0528C24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10B455E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10B455E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10B455E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10B455E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10B455E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10B455E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10B455E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39415" cy="942340"/>
              <wp:effectExtent l="0" t="0" r="0" b="0"/>
              <wp:wrapNone/>
              <wp:docPr id="26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940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48" w:right="2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48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07.35pt;margin-top:40.1pt;width:231.4pt;height:74.15pt;mso-wrap-style:square;v-text-anchor:top;mso-position-horizontal-relative:page;mso-position-vertical-relative:page" wp14:anchorId="10B455E3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48" w:right="2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1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/>
                      <w:ind w:left="48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1d7bd8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1d7bd8"/>
    <w:pPr>
      <w:spacing w:before="264" w:after="0"/>
      <w:ind w:left="49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1d7bd8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1d7bd8"/>
    <w:rPr>
      <w:rFonts w:ascii="Calibri" w:hAnsi="Calibri" w:eastAsia="Calibri" w:cs="Calibri"/>
      <w:sz w:val="20"/>
      <w:szCs w:val="20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1d7bd8"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1d7bd8"/>
    <w:pPr/>
    <w:rPr/>
  </w:style>
  <w:style w:type="paragraph" w:styleId="Default" w:customStyle="1">
    <w:name w:val="Default"/>
    <w:qFormat/>
    <w:rsid w:val="001d7bd8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d7bd8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4</Pages>
  <Words>1130</Words>
  <Characters>6577</Characters>
  <CharactersWithSpaces>7588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2024-09-23T11:17:00Z</dcterms:created>
  <dc:creator>genetica 5p</dc:creator>
  <dc:description/>
  <dc:language>en-US</dc:language>
  <cp:lastModifiedBy/>
  <dcterms:modified xsi:type="dcterms:W3CDTF">2024-10-28T10:47:59Z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