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306" w:rsidRDefault="002B7306" w:rsidP="002B7306">
      <w:pPr>
        <w:spacing w:before="52"/>
        <w:ind w:right="1306"/>
        <w:jc w:val="center"/>
        <w:rPr>
          <w:sz w:val="24"/>
        </w:rPr>
      </w:pPr>
      <w:r>
        <w:rPr>
          <w:sz w:val="24"/>
        </w:rPr>
        <w:t xml:space="preserve">                    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2B7306" w:rsidRDefault="002B7306" w:rsidP="002B7306">
      <w:pPr>
        <w:pStyle w:val="Corpotesto"/>
        <w:spacing w:before="8"/>
        <w:rPr>
          <w:sz w:val="23"/>
        </w:rPr>
      </w:pPr>
    </w:p>
    <w:p w:rsidR="002B7306" w:rsidRDefault="002B7306" w:rsidP="002B7306">
      <w:pPr>
        <w:pStyle w:val="Titolo1"/>
        <w:ind w:right="1306"/>
        <w:jc w:val="center"/>
      </w:pPr>
      <w:r>
        <w:rPr>
          <w:color w:val="C49291"/>
        </w:rPr>
        <w:t>UNA</w:t>
      </w:r>
      <w:r>
        <w:rPr>
          <w:color w:val="C49291"/>
          <w:spacing w:val="-14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CARENZA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DI</w:t>
      </w:r>
      <w:r>
        <w:rPr>
          <w:color w:val="C49291"/>
          <w:spacing w:val="-4"/>
        </w:rPr>
        <w:t xml:space="preserve"> </w:t>
      </w:r>
      <w:r>
        <w:rPr>
          <w:color w:val="C49291"/>
        </w:rPr>
        <w:t>FOSFORO</w:t>
      </w:r>
    </w:p>
    <w:p w:rsidR="002B7306" w:rsidRDefault="002B7306" w:rsidP="002B7306">
      <w:pPr>
        <w:pStyle w:val="Default"/>
      </w:pPr>
    </w:p>
    <w:p w:rsidR="002B7306" w:rsidRPr="002B7306" w:rsidRDefault="002B7306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2B7306">
        <w:rPr>
          <w:rFonts w:ascii="Calibri" w:eastAsia="Calibri" w:hAnsi="Calibri" w:cs="Calibri"/>
          <w:sz w:val="20"/>
          <w:szCs w:val="20"/>
          <w:lang w:eastAsia="en-US"/>
        </w:rPr>
        <w:t>Il profilo genetico ha eviden</w:t>
      </w:r>
      <w:r>
        <w:rPr>
          <w:rFonts w:ascii="Calibri" w:eastAsia="Calibri" w:hAnsi="Calibri" w:cs="Calibri"/>
          <w:sz w:val="20"/>
          <w:szCs w:val="20"/>
          <w:lang w:eastAsia="en-US"/>
        </w:rPr>
        <w:t xml:space="preserve">ziato una predisposizione alla </w:t>
      </w:r>
      <w:r w:rsidRPr="002B7306">
        <w:rPr>
          <w:rFonts w:ascii="Calibri" w:eastAsia="Calibri" w:hAnsi="Calibri" w:cs="Calibri"/>
          <w:b/>
          <w:sz w:val="20"/>
          <w:szCs w:val="20"/>
          <w:lang w:eastAsia="en-US"/>
        </w:rPr>
        <w:t>C</w:t>
      </w:r>
      <w:r w:rsidRPr="002B7306">
        <w:rPr>
          <w:rFonts w:ascii="Calibri" w:eastAsia="Calibri" w:hAnsi="Calibri" w:cs="Calibri"/>
          <w:b/>
          <w:sz w:val="20"/>
          <w:szCs w:val="20"/>
          <w:lang w:eastAsia="en-US"/>
        </w:rPr>
        <w:t xml:space="preserve">arenza di </w:t>
      </w:r>
      <w:r w:rsidRPr="002B7306">
        <w:rPr>
          <w:rFonts w:ascii="Calibri" w:eastAsia="Calibri" w:hAnsi="Calibri" w:cs="Calibri"/>
          <w:b/>
          <w:sz w:val="20"/>
          <w:szCs w:val="20"/>
          <w:lang w:eastAsia="en-US"/>
        </w:rPr>
        <w:t>F</w:t>
      </w:r>
      <w:r w:rsidRPr="002B7306">
        <w:rPr>
          <w:rFonts w:ascii="Calibri" w:eastAsia="Calibri" w:hAnsi="Calibri" w:cs="Calibri"/>
          <w:b/>
          <w:sz w:val="20"/>
          <w:szCs w:val="20"/>
          <w:lang w:eastAsia="en-US"/>
        </w:rPr>
        <w:t>osforo</w:t>
      </w:r>
      <w:r w:rsidRPr="002B7306">
        <w:rPr>
          <w:rFonts w:ascii="Calibri" w:eastAsia="Calibri" w:hAnsi="Calibri" w:cs="Calibri"/>
          <w:sz w:val="20"/>
          <w:szCs w:val="20"/>
          <w:lang w:eastAsia="en-US"/>
        </w:rPr>
        <w:t>, con conseguente incremento del suo fabbisogno.</w:t>
      </w:r>
    </w:p>
    <w:p w:rsidR="000F75C9" w:rsidRDefault="002B7306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2B7306">
        <w:rPr>
          <w:rFonts w:ascii="Calibri" w:eastAsia="Calibri" w:hAnsi="Calibri" w:cs="Calibri"/>
          <w:sz w:val="20"/>
          <w:szCs w:val="20"/>
          <w:lang w:eastAsia="en-US"/>
        </w:rPr>
        <w:t>Il fosforo è un minerale essenziale per molti processi biologici, particolarmente imp</w:t>
      </w:r>
      <w:r w:rsidR="000F75C9">
        <w:rPr>
          <w:rFonts w:ascii="Calibri" w:eastAsia="Calibri" w:hAnsi="Calibri" w:cs="Calibri"/>
          <w:sz w:val="20"/>
          <w:szCs w:val="20"/>
          <w:lang w:eastAsia="en-US"/>
        </w:rPr>
        <w:t>ortante durante la crescita.</w:t>
      </w:r>
    </w:p>
    <w:p w:rsidR="002B7306" w:rsidRPr="002B7306" w:rsidRDefault="000F75C9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>
        <w:rPr>
          <w:rFonts w:ascii="Calibri" w:eastAsia="Calibri" w:hAnsi="Calibri" w:cs="Calibri"/>
          <w:sz w:val="20"/>
          <w:szCs w:val="20"/>
          <w:lang w:eastAsia="en-US"/>
        </w:rPr>
        <w:t>S</w:t>
      </w:r>
      <w:r w:rsidR="002B7306" w:rsidRPr="002B7306">
        <w:rPr>
          <w:rFonts w:ascii="Calibri" w:eastAsia="Calibri" w:hAnsi="Calibri" w:cs="Calibri"/>
          <w:sz w:val="20"/>
          <w:szCs w:val="20"/>
          <w:lang w:eastAsia="en-US"/>
        </w:rPr>
        <w:t xml:space="preserve">volge un ruolo cruciale nel metabolismo energetico, essendo un componente fondamentale dell'ATP (adenosina </w:t>
      </w:r>
      <w:proofErr w:type="spellStart"/>
      <w:r w:rsidR="002B7306" w:rsidRPr="002B7306">
        <w:rPr>
          <w:rFonts w:ascii="Calibri" w:eastAsia="Calibri" w:hAnsi="Calibri" w:cs="Calibri"/>
          <w:sz w:val="20"/>
          <w:szCs w:val="20"/>
          <w:lang w:eastAsia="en-US"/>
        </w:rPr>
        <w:t>trifosfato</w:t>
      </w:r>
      <w:proofErr w:type="spellEnd"/>
      <w:r w:rsidR="002B7306" w:rsidRPr="002B7306">
        <w:rPr>
          <w:rFonts w:ascii="Calibri" w:eastAsia="Calibri" w:hAnsi="Calibri" w:cs="Calibri"/>
          <w:sz w:val="20"/>
          <w:szCs w:val="20"/>
          <w:lang w:eastAsia="en-US"/>
        </w:rPr>
        <w:t>), che è la principale fonte di energia per le cellule.</w:t>
      </w:r>
      <w:r>
        <w:rPr>
          <w:rFonts w:ascii="Calibri" w:eastAsia="Calibri" w:hAnsi="Calibri" w:cs="Calibri"/>
          <w:sz w:val="20"/>
          <w:szCs w:val="20"/>
          <w:lang w:eastAsia="en-US"/>
        </w:rPr>
        <w:t xml:space="preserve"> </w:t>
      </w:r>
      <w:r w:rsidR="002B7306" w:rsidRPr="002B7306">
        <w:rPr>
          <w:rFonts w:ascii="Calibri" w:eastAsia="Calibri" w:hAnsi="Calibri" w:cs="Calibri"/>
          <w:sz w:val="20"/>
          <w:szCs w:val="20"/>
          <w:lang w:eastAsia="en-US"/>
        </w:rPr>
        <w:t>Inoltre, il fosforo è fondamentale per la mineralizzazione delle ossa e la formazione dei denti, contribuendo a una crescita sana e a uno sviluppo fisico equilibrato.</w:t>
      </w:r>
    </w:p>
    <w:p w:rsidR="002B7306" w:rsidRPr="002B7306" w:rsidRDefault="002B7306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2B7306">
        <w:rPr>
          <w:rFonts w:ascii="Calibri" w:eastAsia="Calibri" w:hAnsi="Calibri" w:cs="Calibri"/>
          <w:sz w:val="20"/>
          <w:szCs w:val="20"/>
          <w:lang w:eastAsia="en-US"/>
        </w:rPr>
        <w:t>Un livello sufficiente di fosforo aiuta i bambini a mantenere una postura corretta, a sviluppare una buona coordinazione motoria e a sostenere la forza fisica. Senza un’adeguata quantità di fosforo, i muscoli possono diventare deboli, e questo può influenzare negativamente le capacità motorie e la resistenza fisica dei bambini.</w:t>
      </w:r>
    </w:p>
    <w:p w:rsidR="002B7306" w:rsidRPr="002B7306" w:rsidRDefault="002B7306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2B7306">
        <w:rPr>
          <w:rFonts w:ascii="Calibri" w:eastAsia="Calibri" w:hAnsi="Calibri" w:cs="Calibri"/>
          <w:sz w:val="20"/>
          <w:szCs w:val="20"/>
          <w:lang w:eastAsia="en-US"/>
        </w:rPr>
        <w:t>Oltre a fattori genetici, la carenza di fosforo nei bambini può dipendere da molte altre cause, tra cui un’inadeguata assunzione alimentare, malattie renali che compromettono l'assorbimento del minerale, l'assunzione di alcuni farmaci e un aumento del fabbisogno durante i periodi di crescita rapida.</w:t>
      </w:r>
      <w:bookmarkStart w:id="0" w:name="_GoBack"/>
      <w:bookmarkEnd w:id="0"/>
    </w:p>
    <w:p w:rsidR="002B7306" w:rsidRPr="002B7306" w:rsidRDefault="002B7306" w:rsidP="002B7306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2B7306">
        <w:rPr>
          <w:rFonts w:ascii="Calibri" w:eastAsia="Calibri" w:hAnsi="Calibri" w:cs="Calibri"/>
          <w:sz w:val="20"/>
          <w:szCs w:val="20"/>
          <w:lang w:eastAsia="en-US"/>
        </w:rPr>
        <w:t>Per accertare un’eventuale carenza di fosforo, i medici possono effettuare esami del sangue, misurando i livelli di fosforo sierico. Questi interventi sono fondamentali per garantire una crescita sana e uno sviluppo fisico equilibrato nei bambini.</w:t>
      </w:r>
    </w:p>
    <w:p w:rsidR="002B7306" w:rsidRDefault="002B7306" w:rsidP="002B7306">
      <w:pPr>
        <w:pStyle w:val="Corpotesto"/>
        <w:spacing w:before="4"/>
        <w:rPr>
          <w:sz w:val="23"/>
        </w:rPr>
      </w:pPr>
    </w:p>
    <w:p w:rsidR="002B7306" w:rsidRDefault="002B7306" w:rsidP="002B7306">
      <w:pPr>
        <w:spacing w:before="1"/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2B7306" w:rsidRDefault="002B7306" w:rsidP="002B7306">
      <w:pPr>
        <w:pStyle w:val="Corpotesto"/>
        <w:rPr>
          <w:rFonts w:ascii="Arial"/>
          <w:b/>
          <w:i/>
          <w:sz w:val="18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642620</wp:posOffset>
                </wp:positionH>
                <wp:positionV relativeFrom="paragraph">
                  <wp:posOffset>147320</wp:posOffset>
                </wp:positionV>
                <wp:extent cx="6599555" cy="448310"/>
                <wp:effectExtent l="0" t="0" r="0" b="8890"/>
                <wp:wrapTopAndBottom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9555" cy="448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7306" w:rsidRDefault="002B7306" w:rsidP="002B7306">
                            <w:pPr>
                              <w:pStyle w:val="Corpotesto"/>
                              <w:spacing w:before="109"/>
                              <w:jc w:val="center"/>
                            </w:pPr>
                            <w:r>
                              <w:t>Aumentare</w:t>
                            </w:r>
                            <w:r w:rsidRPr="002B7306">
                              <w:t xml:space="preserve"> </w:t>
                            </w:r>
                            <w:r w:rsidRPr="002B7306">
                              <w:t>il consumo di alimenti ricchi di fosforo, come carne, pesce, latticini, legumi e noci.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Eventualmente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chiedere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consiglio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medico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curante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farmacista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assunzione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integratori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specifici.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50.6pt;margin-top:11.6pt;width:519.65pt;height:35.3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q0ggIAAAcFAAAOAAAAZHJzL2Uyb0RvYy54bWysVG1v0zAQ/o7Ef7D8vcsLSddES6etowhp&#10;vEiDH+DGTmPh+ILtNh0T/52z03RjgIQQreSc7fPju3ue88XloVNkL4yVoCuanMWUCF0Dl3pb0c+f&#10;1rMFJdYxzZkCLSp6Lyy9XL58cTH0pUihBcWFIQiibTn0FW2d68sosnUrOmbPoBcaNxswHXM4NduI&#10;GzYgeqeiNI7n0QCG9wZqYS2u3oybdBnwm0bU7kPTWOGIqijG5sJowrjxY7S8YOXWsL6V9TEM9g9R&#10;dExqvPQEdcMcIzsjf4HqZG3AQuPOaugiaBpZi5ADZpPEz7K5a1kvQi5YHNufymT/H2z9fv/REMkr&#10;mlKiWYcUrZgVSjHCJXHCOiCpr9LQ2xKd73p0d4drOCDbIWPb30L9xRINq5bprbgyBoZWMI5RJv5k&#10;9OToiGM9yGZ4BxyvYzsHAejQmM6XEItCEB3Zuj8xJA6O1Lg4z4siz3NKatzLssWrJFAYsXI63Rvr&#10;3gjoiDcqalABAZ3tb63z0bBycvGXWVCSr6VSYWK2m5UyZM9QLevE/0MCz9yU9s4a/LERcVzBIPEO&#10;v+fDDew/FEmaxddpMVvPF+ezbJ3ls+I8XszipLgu5nFWZDfr7z7AJCtbybnQt1KLSYlJ9ndMH3ti&#10;1FDQIhkqWuRpPlL0xyTj8Ptdkp102JhKdhVdnJxY6Yl9rTmmzUrHpBrt6OfwQ5WxBtM3VCXIwDM/&#10;asAdNgdE8drYAL9HQRhAvpB1fE3QaMF8o2TAzqyo/bpjRlCi3moUlW/jyTCTsZkMpms8WlFHyWiu&#10;3Njuu97IbYvIo2w1XKHwGhk08RjFUa7YbSH448vg2/npPHg9vl/LHwAAAP//AwBQSwMEFAAGAAgA&#10;AAAhADijXNTeAAAACgEAAA8AAABkcnMvZG93bnJldi54bWxMj8tOwzAQRfdI/IM1SOyonZRWaYhT&#10;VamAdR+b7px4iCPicRS7Tfh73BWsRldzdOdMsZ1tz244+s6RhGQhgCE1TnfUSjif3l8yYD4o0qp3&#10;hBJ+0MO2fHwoVK7dRAe8HUPLYgn5XEkwIQw5574xaJVfuAEp7r7caFWIcWy5HtUUy23PUyHW3KqO&#10;4gWjBqwMNt/Hq5UwXQa87D+z+mA/qmq1T8za7mYpn5/m3RuwgHP4g+GuH9WhjE61u5L2rI9ZJGlE&#10;JaTLOO9A8ipWwGoJm2UGvCz4/xfKXwAAAP//AwBQSwECLQAUAAYACAAAACEAtoM4kv4AAADhAQAA&#10;EwAAAAAAAAAAAAAAAAAAAAAAW0NvbnRlbnRfVHlwZXNdLnhtbFBLAQItABQABgAIAAAAIQA4/SH/&#10;1gAAAJQBAAALAAAAAAAAAAAAAAAAAC8BAABfcmVscy8ucmVsc1BLAQItABQABgAIAAAAIQAosUq0&#10;ggIAAAcFAAAOAAAAAAAAAAAAAAAAAC4CAABkcnMvZTJvRG9jLnhtbFBLAQItABQABgAIAAAAIQA4&#10;o1zU3gAAAAoBAAAPAAAAAAAAAAAAAAAAANwEAABkcnMvZG93bnJldi54bWxQSwUGAAAAAAQABADz&#10;AAAA5wUAAAAA&#10;" fillcolor="#f1f1f1" stroked="f">
                <v:textbox inset="0,0,0,0">
                  <w:txbxContent>
                    <w:p w:rsidR="002B7306" w:rsidRDefault="002B7306" w:rsidP="002B7306">
                      <w:pPr>
                        <w:pStyle w:val="Corpotesto"/>
                        <w:spacing w:before="109"/>
                        <w:jc w:val="center"/>
                      </w:pPr>
                      <w:r>
                        <w:t>Aumentare</w:t>
                      </w:r>
                      <w:r w:rsidRPr="002B7306">
                        <w:t xml:space="preserve"> </w:t>
                      </w:r>
                      <w:r w:rsidRPr="002B7306">
                        <w:t>il consumo di alimenti ricchi di fosforo, come carne, pesce, latticini, legumi e noci.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Eventualmente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chiedere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consiglio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medico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curante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farmacista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assunzione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integratori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specifici.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B7306" w:rsidRDefault="002B7306" w:rsidP="002B7306">
      <w:pPr>
        <w:pStyle w:val="Corpotesto"/>
        <w:rPr>
          <w:rFonts w:ascii="Arial"/>
          <w:b/>
          <w:i/>
        </w:rPr>
      </w:pPr>
    </w:p>
    <w:p w:rsidR="006722E5" w:rsidRDefault="006722E5"/>
    <w:sectPr w:rsidR="006722E5" w:rsidSect="002B7306">
      <w:headerReference w:type="default" r:id="rId7"/>
      <w:pgSz w:w="11906" w:h="16838"/>
      <w:pgMar w:top="1417" w:right="1134" w:bottom="1134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306" w:rsidRDefault="002B7306" w:rsidP="002B7306">
      <w:r>
        <w:separator/>
      </w:r>
    </w:p>
  </w:endnote>
  <w:endnote w:type="continuationSeparator" w:id="0">
    <w:p w:rsidR="002B7306" w:rsidRDefault="002B7306" w:rsidP="002B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306" w:rsidRDefault="002B7306" w:rsidP="002B7306">
      <w:r>
        <w:separator/>
      </w:r>
    </w:p>
  </w:footnote>
  <w:footnote w:type="continuationSeparator" w:id="0">
    <w:p w:rsidR="002B7306" w:rsidRDefault="002B7306" w:rsidP="002B73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306" w:rsidRDefault="002B7306" w:rsidP="002B7306">
    <w:pPr>
      <w:pStyle w:val="Titolo1"/>
      <w:spacing w:before="103" w:line="275" w:lineRule="exact"/>
      <w:ind w:left="5664"/>
    </w:pPr>
    <w:r>
      <w:rPr>
        <w:noProof/>
        <w:lang w:eastAsia="it-IT"/>
      </w:rPr>
      <w:drawing>
        <wp:anchor distT="0" distB="0" distL="0" distR="0" simplePos="0" relativeHeight="251659264" behindDoc="0" locked="0" layoutInCell="1" allowOverlap="1" wp14:anchorId="46BA8AF2" wp14:editId="7D715148">
          <wp:simplePos x="0" y="0"/>
          <wp:positionH relativeFrom="page">
            <wp:posOffset>393700</wp:posOffset>
          </wp:positionH>
          <wp:positionV relativeFrom="paragraph">
            <wp:posOffset>5662</wp:posOffset>
          </wp:positionV>
          <wp:extent cx="1595120" cy="9550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D7D7D"/>
      </w:rPr>
      <w:t>Servizio</w:t>
    </w:r>
    <w:r>
      <w:rPr>
        <w:color w:val="7D7D7D"/>
        <w:spacing w:val="-9"/>
      </w:rPr>
      <w:t xml:space="preserve"> </w:t>
    </w:r>
    <w:r>
      <w:rPr>
        <w:color w:val="7D7D7D"/>
      </w:rPr>
      <w:t>di</w:t>
    </w:r>
    <w:r>
      <w:rPr>
        <w:color w:val="7D7D7D"/>
        <w:spacing w:val="-10"/>
      </w:rPr>
      <w:t xml:space="preserve"> </w:t>
    </w:r>
    <w:r>
      <w:rPr>
        <w:color w:val="7D7D7D"/>
      </w:rPr>
      <w:t>Genetica</w:t>
    </w:r>
    <w:r>
      <w:rPr>
        <w:color w:val="7D7D7D"/>
        <w:spacing w:val="-14"/>
      </w:rPr>
      <w:t xml:space="preserve"> </w:t>
    </w:r>
    <w:r>
      <w:rPr>
        <w:color w:val="7D7D7D"/>
      </w:rPr>
      <w:t>Medica</w:t>
    </w:r>
  </w:p>
  <w:p w:rsidR="002B7306" w:rsidRDefault="002B7306" w:rsidP="002B7306">
    <w:pPr>
      <w:spacing w:line="206" w:lineRule="exact"/>
      <w:ind w:left="5664"/>
      <w:rPr>
        <w:rFonts w:ascii="Arial"/>
        <w:b/>
        <w:sz w:val="18"/>
      </w:rPr>
    </w:pPr>
    <w:r>
      <w:rPr>
        <w:rFonts w:ascii="Arial"/>
        <w:b/>
        <w:color w:val="7D7D7D"/>
        <w:sz w:val="18"/>
      </w:rPr>
      <w:t>ARTEMISIA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SPA</w:t>
    </w:r>
    <w:r>
      <w:rPr>
        <w:rFonts w:ascii="Arial"/>
        <w:b/>
        <w:color w:val="7D7D7D"/>
        <w:spacing w:val="-8"/>
        <w:sz w:val="18"/>
      </w:rPr>
      <w:t xml:space="preserve"> </w:t>
    </w:r>
    <w:r>
      <w:rPr>
        <w:rFonts w:ascii="Arial"/>
        <w:b/>
        <w:color w:val="7D7D7D"/>
        <w:sz w:val="18"/>
      </w:rPr>
      <w:t>-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P.</w:t>
    </w:r>
    <w:r>
      <w:rPr>
        <w:rFonts w:ascii="Arial"/>
        <w:b/>
        <w:color w:val="7D7D7D"/>
        <w:spacing w:val="-6"/>
        <w:sz w:val="18"/>
      </w:rPr>
      <w:t xml:space="preserve"> </w:t>
    </w:r>
    <w:r>
      <w:rPr>
        <w:rFonts w:ascii="Arial"/>
        <w:b/>
        <w:color w:val="7D7D7D"/>
        <w:sz w:val="18"/>
      </w:rPr>
      <w:t>IVA</w:t>
    </w:r>
    <w:r>
      <w:rPr>
        <w:rFonts w:ascii="Arial"/>
        <w:b/>
        <w:color w:val="7D7D7D"/>
        <w:spacing w:val="-12"/>
        <w:sz w:val="18"/>
      </w:rPr>
      <w:t xml:space="preserve"> </w:t>
    </w:r>
    <w:r>
      <w:rPr>
        <w:rFonts w:ascii="Arial"/>
        <w:b/>
        <w:color w:val="7D7D7D"/>
        <w:sz w:val="18"/>
      </w:rPr>
      <w:t>00929551000</w:t>
    </w:r>
  </w:p>
  <w:p w:rsidR="002B7306" w:rsidRDefault="002B7306" w:rsidP="002B7306">
    <w:pPr>
      <w:spacing w:before="7"/>
      <w:ind w:left="5675" w:right="1306"/>
      <w:rPr>
        <w:rFonts w:ascii="Arial MT"/>
        <w:sz w:val="16"/>
      </w:rPr>
    </w:pPr>
    <w:r>
      <w:rPr>
        <w:rFonts w:ascii="Arial MT"/>
        <w:color w:val="7D7D7D"/>
        <w:sz w:val="16"/>
      </w:rPr>
      <w:t xml:space="preserve">            </w:t>
    </w:r>
    <w:r>
      <w:rPr>
        <w:rFonts w:ascii="Arial MT"/>
        <w:color w:val="7D7D7D"/>
        <w:sz w:val="16"/>
      </w:rPr>
      <w:t>00198</w:t>
    </w:r>
    <w:r>
      <w:rPr>
        <w:rFonts w:ascii="Arial MT"/>
        <w:color w:val="7D7D7D"/>
        <w:spacing w:val="-8"/>
        <w:sz w:val="16"/>
      </w:rPr>
      <w:t xml:space="preserve"> </w:t>
    </w:r>
    <w:r>
      <w:rPr>
        <w:rFonts w:ascii="Arial MT"/>
        <w:color w:val="7D7D7D"/>
        <w:sz w:val="16"/>
      </w:rPr>
      <w:t>ROMA</w:t>
    </w:r>
    <w:r>
      <w:rPr>
        <w:rFonts w:ascii="Arial MT"/>
        <w:color w:val="7D7D7D"/>
        <w:spacing w:val="-3"/>
        <w:sz w:val="16"/>
      </w:rPr>
      <w:t xml:space="preserve"> </w:t>
    </w:r>
    <w:r>
      <w:rPr>
        <w:rFonts w:ascii="Arial MT"/>
        <w:color w:val="7D7D7D"/>
        <w:sz w:val="16"/>
      </w:rPr>
      <w:t>-</w:t>
    </w:r>
    <w:r>
      <w:rPr>
        <w:rFonts w:ascii="Arial MT"/>
        <w:color w:val="7D7D7D"/>
        <w:spacing w:val="-11"/>
        <w:sz w:val="16"/>
      </w:rPr>
      <w:t xml:space="preserve"> </w:t>
    </w:r>
    <w:r>
      <w:rPr>
        <w:rFonts w:ascii="Arial MT"/>
        <w:color w:val="7D7D7D"/>
        <w:sz w:val="16"/>
      </w:rPr>
      <w:t>Viale</w:t>
    </w:r>
    <w:r>
      <w:rPr>
        <w:rFonts w:ascii="Arial MT"/>
        <w:color w:val="7D7D7D"/>
        <w:spacing w:val="-4"/>
        <w:sz w:val="16"/>
      </w:rPr>
      <w:t xml:space="preserve"> </w:t>
    </w:r>
    <w:r>
      <w:rPr>
        <w:rFonts w:ascii="Arial MT"/>
        <w:color w:val="7D7D7D"/>
        <w:sz w:val="16"/>
      </w:rPr>
      <w:t>Liegi,</w:t>
    </w:r>
    <w:r>
      <w:rPr>
        <w:rFonts w:ascii="Arial MT"/>
        <w:color w:val="7D7D7D"/>
        <w:spacing w:val="-6"/>
        <w:sz w:val="16"/>
      </w:rPr>
      <w:t xml:space="preserve"> </w:t>
    </w:r>
    <w:r>
      <w:rPr>
        <w:rFonts w:ascii="Arial MT"/>
        <w:color w:val="7D7D7D"/>
        <w:sz w:val="16"/>
      </w:rPr>
      <w:t>45</w:t>
    </w:r>
  </w:p>
  <w:p w:rsidR="002B7306" w:rsidRDefault="002B7306" w:rsidP="002B7306">
    <w:pPr>
      <w:spacing w:before="3"/>
      <w:ind w:left="5671" w:right="718" w:firstLine="4"/>
      <w:jc w:val="center"/>
      <w:rPr>
        <w:rFonts w:ascii="Arial MT"/>
        <w:sz w:val="18"/>
      </w:rPr>
    </w:pPr>
    <w:proofErr w:type="spellStart"/>
    <w:r>
      <w:rPr>
        <w:rFonts w:ascii="Arial MT"/>
        <w:color w:val="7D7D7D"/>
        <w:sz w:val="16"/>
      </w:rPr>
      <w:t>Tel</w:t>
    </w:r>
    <w:proofErr w:type="spellEnd"/>
    <w:r>
      <w:rPr>
        <w:rFonts w:ascii="Arial MT"/>
        <w:color w:val="7D7D7D"/>
        <w:sz w:val="16"/>
      </w:rPr>
      <w:t xml:space="preserve"> 06 85 05 804-5-6 | Centralino 06 85 05 (</w:t>
    </w:r>
    <w:proofErr w:type="spellStart"/>
    <w:r>
      <w:rPr>
        <w:rFonts w:ascii="Arial MT"/>
        <w:color w:val="7D7D7D"/>
        <w:sz w:val="16"/>
      </w:rPr>
      <w:t>r.a.</w:t>
    </w:r>
    <w:proofErr w:type="spellEnd"/>
    <w:r>
      <w:rPr>
        <w:rFonts w:ascii="Arial MT"/>
        <w:color w:val="7D7D7D"/>
        <w:sz w:val="16"/>
      </w:rPr>
      <w:t>)</w:t>
    </w:r>
    <w:r>
      <w:rPr>
        <w:rFonts w:ascii="Arial MT"/>
        <w:color w:val="7D7D7D"/>
        <w:spacing w:val="1"/>
        <w:sz w:val="16"/>
      </w:rPr>
      <w:t xml:space="preserve"> </w:t>
    </w:r>
    <w:hyperlink r:id="rId2">
      <w:r>
        <w:rPr>
          <w:rFonts w:ascii="Arial"/>
          <w:b/>
          <w:color w:val="7D7D7D"/>
          <w:spacing w:val="-2"/>
          <w:sz w:val="16"/>
        </w:rPr>
        <w:t>www.altamedica.it -</w:t>
      </w:r>
      <w:r>
        <w:rPr>
          <w:rFonts w:ascii="Arial"/>
          <w:b/>
          <w:color w:val="7D7D7D"/>
          <w:spacing w:val="2"/>
          <w:sz w:val="16"/>
        </w:rPr>
        <w:t xml:space="preserve"> </w:t>
      </w:r>
    </w:hyperlink>
    <w:hyperlink r:id="rId3">
      <w:r>
        <w:rPr>
          <w:rFonts w:ascii="Arial"/>
          <w:b/>
          <w:color w:val="7D7D7D"/>
          <w:spacing w:val="-2"/>
          <w:sz w:val="16"/>
        </w:rPr>
        <w:t>segreteria.geneticamedica@altamedica.it</w:t>
      </w:r>
    </w:hyperlink>
    <w:r>
      <w:rPr>
        <w:rFonts w:ascii="Arial"/>
        <w:b/>
        <w:color w:val="7D7D7D"/>
        <w:spacing w:val="-1"/>
        <w:sz w:val="16"/>
      </w:rPr>
      <w:t xml:space="preserve"> </w:t>
    </w:r>
    <w:proofErr w:type="spellStart"/>
    <w:r>
      <w:rPr>
        <w:rFonts w:ascii="Arial MT"/>
        <w:color w:val="7D7D7D"/>
        <w:sz w:val="18"/>
      </w:rPr>
      <w:t>Resp</w:t>
    </w:r>
    <w:proofErr w:type="spellEnd"/>
    <w:r>
      <w:rPr>
        <w:rFonts w:ascii="Arial MT"/>
        <w:color w:val="7D7D7D"/>
        <w:sz w:val="18"/>
      </w:rPr>
      <w:t>.</w:t>
    </w:r>
    <w:r>
      <w:rPr>
        <w:rFonts w:ascii="Arial MT"/>
        <w:color w:val="7D7D7D"/>
        <w:spacing w:val="4"/>
        <w:sz w:val="18"/>
      </w:rPr>
      <w:t xml:space="preserve"> </w:t>
    </w:r>
    <w:r>
      <w:rPr>
        <w:rFonts w:ascii="Arial MT"/>
        <w:color w:val="7D7D7D"/>
        <w:sz w:val="18"/>
      </w:rPr>
      <w:t>Dott.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Alvaro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Mesoraca</w:t>
    </w:r>
  </w:p>
  <w:p w:rsidR="002B7306" w:rsidRDefault="002B7306" w:rsidP="002B7306">
    <w:pPr>
      <w:spacing w:line="202" w:lineRule="exact"/>
      <w:ind w:left="6308" w:right="1306"/>
      <w:jc w:val="center"/>
      <w:rPr>
        <w:rFonts w:ascii="Arial" w:hAnsi="Arial"/>
        <w:i/>
        <w:sz w:val="18"/>
      </w:rPr>
    </w:pPr>
    <w:r>
      <w:rPr>
        <w:rFonts w:ascii="Arial" w:hAnsi="Arial"/>
        <w:i/>
        <w:color w:val="7D7D7D"/>
        <w:sz w:val="18"/>
      </w:rPr>
      <w:t>Certificazione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di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Qualità</w:t>
    </w:r>
    <w:r>
      <w:rPr>
        <w:rFonts w:ascii="Arial" w:hAnsi="Arial"/>
        <w:i/>
        <w:color w:val="7D7D7D"/>
        <w:spacing w:val="-3"/>
        <w:sz w:val="18"/>
      </w:rPr>
      <w:t xml:space="preserve"> </w:t>
    </w:r>
    <w:r>
      <w:rPr>
        <w:rFonts w:ascii="Arial" w:hAnsi="Arial"/>
        <w:i/>
        <w:color w:val="7D7D7D"/>
        <w:sz w:val="18"/>
      </w:rPr>
      <w:t>UNI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EN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ISO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9001</w:t>
    </w:r>
  </w:p>
  <w:p w:rsidR="002B7306" w:rsidRDefault="002B7306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306"/>
    <w:rsid w:val="000F75C9"/>
    <w:rsid w:val="002B7306"/>
    <w:rsid w:val="006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2B73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2B7306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2B7306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2B7306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B7306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2B73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2B73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06"/>
    <w:rPr>
      <w:rFonts w:ascii="Calibri" w:eastAsia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06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2B73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2B7306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2B7306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2B7306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B7306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2B73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2B73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06"/>
    <w:rPr>
      <w:rFonts w:ascii="Calibri" w:eastAsia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7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geneticamedica@altamedica.it" TargetMode="External"/><Relationship Id="rId2" Type="http://schemas.openxmlformats.org/officeDocument/2006/relationships/hyperlink" Target="http://www.altamedica.i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dcterms:created xsi:type="dcterms:W3CDTF">2024-09-25T13:40:00Z</dcterms:created>
  <dcterms:modified xsi:type="dcterms:W3CDTF">2024-09-25T13:51:00Z</dcterms:modified>
</cp:coreProperties>
</file>