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jpeg" ContentType="image/jpe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left="2429" w:right="0" w:hanging="0"/>
        <w:jc w:val="left"/>
        <w:rPr/>
      </w:pPr>
      <w:r>
        <w:rPr>
          <w:b/>
          <w:sz w:val="32"/>
        </w:rPr>
        <w:t>Il tuo profilo genetico ha evidenziato: gravidanza</w:t>
      </w:r>
    </w:p>
    <w:p>
      <w:pPr>
        <w:pStyle w:val="Normal"/>
        <w:spacing w:lineRule="auto" w:line="259" w:before="0" w:after="9"/>
        <w:ind w:left="434" w:right="0" w:hanging="0"/>
        <w:jc w:val="center"/>
        <w:rPr/>
      </w:pPr>
      <w:r>
        <w:rPr>
          <w:b/>
          <w:sz w:val="32"/>
        </w:rPr>
        <w:t xml:space="preserve"> </w:t>
      </w:r>
    </w:p>
    <w:p>
      <w:pPr>
        <w:pStyle w:val="Normal"/>
        <w:spacing w:lineRule="auto" w:line="259" w:before="0" w:after="0"/>
        <w:ind w:left="80" w:right="0" w:hanging="0"/>
        <w:jc w:val="center"/>
        <w:rPr/>
      </w:pPr>
      <w:r>
        <w:rPr>
          <w:rFonts w:eastAsia="Cambria" w:cs="Cambria" w:ascii="Cambria" w:hAnsi="Cambria"/>
          <w:b/>
          <w:i/>
          <w:color w:val="FF0000"/>
          <w:sz w:val="36"/>
        </w:rPr>
        <w:t xml:space="preserve">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All’inizio della gravidanza è bene valutare lo stato di nutrizionale della donna ed il suo </w:t>
      </w:r>
      <w:r>
        <w:rPr>
          <w:b/>
        </w:rPr>
        <w:t>Body Mass Index (BMI),</w:t>
      </w:r>
      <w:r>
        <w:rPr/>
        <w:t xml:space="preserve"> adeguando l’apporto energetico e nutrizionale durante la gravidanza in base al BMI pregravidico e alle Raccomandazioni OMS.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Il peso materno prima della gravidanza e nella prima metà della gestazione è una </w:t>
      </w:r>
      <w:r>
        <w:rPr>
          <w:i/>
        </w:rPr>
        <w:t>finestra critica</w:t>
      </w:r>
      <w:r>
        <w:rPr/>
        <w:t xml:space="preserve"> per l’intervento medico, in grado di influenzare il peso neonatale alla nascita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In corso di gravidanza aumenta sensibilmente il fabbisogno di </w:t>
      </w:r>
      <w:r>
        <w:rPr>
          <w:b/>
        </w:rPr>
        <w:t>proteine</w:t>
      </w:r>
      <w:r>
        <w:rPr/>
        <w:t xml:space="preserve">, mentre è pressoché invariato quello di carboidrati e di grassi (LARN). 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 LARN riportano livelli di assunzione raccomandati di </w:t>
      </w:r>
      <w:r>
        <w:rPr>
          <w:b/>
        </w:rPr>
        <w:t>proteine di alta qualità</w:t>
      </w:r>
      <w:r>
        <w:rPr/>
        <w:t xml:space="preserve"> per la popolazione, che corrispondono a </w:t>
      </w:r>
      <w:r>
        <w:rPr>
          <w:u w:val="single" w:color="000000"/>
        </w:rPr>
        <w:t>54 g/die per una donna adulta</w:t>
      </w:r>
      <w:r>
        <w:rPr/>
        <w:t xml:space="preserve">; questi livelli devono essere incrementati di una quota compresa tra </w:t>
      </w:r>
      <w:r>
        <w:rPr>
          <w:u w:val="single" w:color="000000"/>
        </w:rPr>
        <w:t>1 g/die nel primo trimestre di gestazione</w:t>
      </w:r>
      <w:r>
        <w:rPr/>
        <w:t xml:space="preserve">, </w:t>
      </w:r>
      <w:r>
        <w:rPr>
          <w:u w:val="single" w:color="000000"/>
        </w:rPr>
        <w:t>8 g/die nel secondo trimestre e 26 g/die nel terzo</w:t>
      </w:r>
      <w:r>
        <w:rPr/>
        <w:t xml:space="preserve"> </w:t>
      </w:r>
      <w:r>
        <w:rPr>
          <w:u w:val="single" w:color="000000"/>
        </w:rPr>
        <w:t>trimestre.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Il consumo di </w:t>
      </w:r>
      <w:r>
        <w:rPr>
          <w:b/>
        </w:rPr>
        <w:t>carboidrati semplici</w:t>
      </w:r>
      <w:r>
        <w:rPr/>
        <w:t xml:space="preserve"> non dovrebbe superare il 10-12% del fabbisogno energetico. 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Il consumo di </w:t>
      </w:r>
      <w:r>
        <w:rPr>
          <w:b/>
        </w:rPr>
        <w:t>carboidrati complessi</w:t>
      </w:r>
      <w:r>
        <w:rPr/>
        <w:t xml:space="preserve"> dovrebbe essere tra il 45-60% del fabbisogno energetico.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Nella scelta dei carboidrati è utile privilegiare cereali integrali per garantire anche un adeguato apporto di </w:t>
      </w:r>
      <w:r>
        <w:rPr>
          <w:b/>
        </w:rPr>
        <w:t>fibre</w:t>
      </w:r>
      <w:r>
        <w:rPr/>
        <w:t xml:space="preserve"> (IOM). 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Il consumo di </w:t>
      </w:r>
      <w:r>
        <w:rPr>
          <w:b/>
        </w:rPr>
        <w:t>lipidi</w:t>
      </w:r>
      <w:r>
        <w:rPr/>
        <w:t xml:space="preserve"> non dovrebbe superare il 25-30% del fabbisogno energetico, con particolare attenzione ai </w:t>
      </w:r>
      <w:r>
        <w:rPr>
          <w:b/>
        </w:rPr>
        <w:t>grassi saturi</w:t>
      </w:r>
      <w:r>
        <w:rPr/>
        <w:t xml:space="preserve"> che dovrebbero rimanere al di sotto del 10%.  </w:t>
      </w:r>
    </w:p>
    <w:p>
      <w:pPr>
        <w:pStyle w:val="Normal"/>
        <w:numPr>
          <w:ilvl w:val="0"/>
          <w:numId w:val="0"/>
        </w:numPr>
        <w:ind w:left="699" w:right="0" w:hanging="0"/>
        <w:rPr/>
      </w:pPr>
      <w:r>
        <w:rPr/>
        <w:t xml:space="preserve">Il fabbisogno di </w:t>
      </w:r>
      <w:r>
        <w:rPr>
          <w:b/>
        </w:rPr>
        <w:t>DHA</w:t>
      </w:r>
      <w:r>
        <w:rPr/>
        <w:t xml:space="preserve"> aumenta di 100-200 mg al giorno durante gravidanza (EFSA, LARN). 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  <w:r>
        <w:rPr>
          <w:rFonts w:eastAsia="Arial" w:cs="Arial" w:ascii="Arial" w:hAnsi="Arial"/>
          <w:i/>
          <w:u w:val="single" w:color="000000"/>
        </w:rPr>
        <w:t>Consigli alimentari in base al tuo profilo genetico:</w:t>
      </w:r>
    </w:p>
    <w:p>
      <w:pPr>
        <w:pStyle w:val="Normal"/>
        <w:spacing w:lineRule="auto" w:line="259" w:before="0" w:after="0"/>
        <w:ind w:left="0" w:right="0" w:hanging="0"/>
        <w:jc w:val="left"/>
        <w:rPr>
          <w:rFonts w:ascii="Arial" w:hAnsi="Arial" w:eastAsia="Arial" w:cs="Arial"/>
          <w:i/>
          <w:i/>
          <w:u w:val="single" w:color="000000"/>
        </w:rPr>
      </w:pPr>
      <w:r>
        <w:rPr/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Vitamina A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La supplementazione di vitamina A non è necessaria laddove l’abituale apporto giornaliero è superiore a tre volte la Recommended Daily Allowance (RDA) (ad esempio, 8000 unità internazionali o 2400 µg di retinolo equivalenti), ovvero nella maggior parte dei Paesi Sviluppati (WHO).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Acido folico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Le Linee Guida nazionali e internazionali consigliano la supplementazione giornaliera di acido folico (dai 400 μg/die ai 600 μg/die) , raccomandata per tutte le donne in gravidanza allo scopo di prevenire anemia materna, basso peso alla nascita, nascita pretermine e difetti del tubo neurale. Più specificatamente, la supplementazione di acido folico dovrebbe iniziare almeno trenta giorni prima del concepimento e continuare per il resto della gestazione, fondamentale soprattutto nei primi 3 mesi.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Vitamine  del gruppo B 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In gravidanza una dieta varia ed equilibrata, che soddisfi le necessità degli altri nutrienti essenziali, contiene quantità di vitamine del gruppo B sufficienti. Si raccomanda l’assunzione di 5 porzioni alla settimana di frutta e verdura, due porzioni alla settimana di legumi, assumendo occasionalmente frutta secca e di preferire i cereali integrali.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Vitamina C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In caso di un atteggiamento nutrizionale corretto da parte della gestante non è consigliata la supplementazione di vitamina C in gravidanza.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Vitamina D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La supplementazione con vitamina D in Italia non sembra essere necessaria in tutte le donne e può essere consigliata, dopo una valutazione caso per caso, solo nelle donne a rischio di ipovitaminosi per questioni ambientali o carenze alimentari.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Ferro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>
          <w:i w:val="false"/>
          <w:i w:val="false"/>
          <w:iCs w:val="false"/>
          <w:u w:val="none" w:color="000000"/>
        </w:rPr>
      </w:pPr>
      <w:r>
        <w:rPr>
          <w:rFonts w:eastAsia="Arial" w:cs="Arial" w:ascii="Arial" w:hAnsi="Arial"/>
          <w:i w:val="false"/>
          <w:iCs w:val="false"/>
          <w:u w:val="none" w:color="000000"/>
        </w:rPr>
        <w:t xml:space="preserve">Concentrazioni emoglobiniche &lt; 11 g/dl nel primo trimestre e &lt; 10,5 g/dl oltre la 28° settimana dovrebbero essere valutate e trattate appropriatamente per ottimizzare la concentrazione emoglobinica prima del parto e ridurre il risc io di trasfusioni    urante la gravidanza il fabbisogno giornaliero di ferro nella donna è di circa 30 mg, quasi il doppio rispetto ai 18 mg necessari a una donna non incinta  Se l’anemia in gravidanza non viene curata prontamente, le conseguenze possono coinvolgere anche il bambino, con un aumento del rischio di parto prematuro e la possibilità che il nascituro abbia un peso troppo basso. È necessario informare le donne su come migliorare l’assunzione di ferro ferroso con l’alimentazione.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>
          <w:rFonts w:eastAsia="Arial" w:cs="Arial" w:ascii="Arial" w:hAnsi="Arial"/>
          <w:i/>
          <w:u w:val="single" w:color="000000"/>
        </w:rPr>
        <w:t xml:space="preserve"> </w:t>
      </w:r>
    </w:p>
    <w:p>
      <w:pPr>
        <w:pStyle w:val="Heading1"/>
        <w:ind w:left="724" w:right="3754" w:hanging="366"/>
        <w:rPr/>
      </w:pPr>
      <w:r>
        <w:rPr/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  <w:r>
        <w:rPr/>
        <w:t xml:space="preserve">Iodio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La quota stimata per evitare la carenza è di 200 μg/die (contro i 150 μg degli adulti) secondo LARN ed EFSA, 250 μg/die secondo il documento congiunto WHO/UNICEF (già United Nations International Childrens Emergency Fund).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Calcio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La supplementazione di calcio a basso dosaggio non è raccomandata nelle donne normo-calcemic e  È comunque raccomandata l’assunzione di 1200 mg di calcio durante la gravidanza e non, quantità che può essere facilmente raggiunta consumando quotidianamente alimenti ricchi in calcio.  La supplementazione di calcio potrebbe essere raccomandata nelle donne a rischio per ipertensione/ pre-eclampsia, nel caso in cui la loro calcemia e/o la loro assunzione alimentare sia ridotta. In tali casi si raccomanda la supplementazione di 1,5-2,0 g/die di calcio dalla ventesima settimana fino al termine della gravidanza.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Fosforo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Al fine di garantire un adeguato sviluppo del feto sono necessari 62 mg/die di Fosforo oltre il fisiologico fabbisogno della donna, ma considerando c e l’efficienza di assorbimento aumenta tanto da coprire  questa differenza, non si ritiene di modificare i livelli di riferimento rispetto a quelli della donna in età fertile.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Magnesio, sodio, potassio, cloro, zinco, selenio, rame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In gravidanza, una dieta varia ed equilibrata, che soddisfi le necessità degli altri nutrienti essenziali, contiene quantità sufficienti di questi elementi, pertanto non sono necessarie supplementazioni.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Fibre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In gravidanza si consiglia, un apporto di fibre di circa 28 g/die come nelle donne in età fertile, con preferenza per il consumo di frutta, ortaggi e cereali integrali.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Acqua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0" w:right="0" w:hanging="0"/>
        <w:jc w:val="left"/>
        <w:rPr/>
      </w:pPr>
      <w:r>
        <w:rPr/>
        <w:t xml:space="preserve">Per le donne in gravidanza si raccomanda una assunzione di acqua giornaliera di 2,35L contro i 2L al giorno raccomandati per la donna in età fertile.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39" w:right="760" w:gutter="0" w:header="719" w:top="2547" w:footer="1" w:bottom="91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Calibri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">
    <w:charset w:val="01"/>
    <w:family w:val="auto"/>
    <w:pitch w:val="default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/>
    </w:pPr>
    <w:r>
      <mc:AlternateContent>
        <mc:Choice Requires="wpg">
          <w:drawing>
            <wp:anchor behindDoc="1" distT="0" distB="0" distL="114300" distR="113665" simplePos="0" locked="0" layoutInCell="0" allowOverlap="1" relativeHeight="2" wp14:anchorId="6101F0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58940" cy="267970"/>
              <wp:effectExtent l="0" t="0" r="0" b="0"/>
              <wp:wrapSquare wrapText="bothSides"/>
              <wp:docPr id="2" name="Group 715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85680" y="55080"/>
                          <a:ext cx="4395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Referto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1652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43880" y="55080"/>
                          <a:ext cx="6818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emesso dal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95760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986040" y="55080"/>
                          <a:ext cx="4287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Centro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30932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335240" y="55080"/>
                          <a:ext cx="7131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Altamedica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87200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899360" y="55080"/>
                          <a:ext cx="1047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di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197748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006640" y="55080"/>
                          <a:ext cx="3916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Roma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301840" y="71280"/>
                          <a:ext cx="67320" cy="1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u w:val="none"/>
                                <w:dstrike w:val="false"/>
                                <w:strike w:val="false"/>
                                <w:i/>
                                <w:vertAlign w:val="baseline"/>
                                <w:position w:val="0"/>
                                <w:spacing w:val="0"/>
                                <w:szCs w:val="16"/>
                                <w:bCs w:val="false"/>
                                <w:iCs/>
                                <w:smallCaps w:val="false"/>
                                <w:caps w:val="false"/>
                                <w:rFonts w:ascii="Aptos" w:hAnsi="Aptos" w:eastAsia="" w:cs="" w:asciiTheme="minorHAnsi" w:cstheme="minorBidi" w:eastAsiaTheme="minorEastAsia" w:hAnsiTheme="minorHAnsi"/>
                                <w:color w:val="auto"/>
                                <w14:ligatures w14:val="standardContextual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35080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378160" y="55080"/>
                          <a:ext cx="1245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>Indicazioni alimentari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314160" y="55080"/>
                          <a:ext cx="367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mallCaps w:val="false"/>
                                <w:caps w:val="false"/>
                                <w:iCs w:val="false"/>
                                <w:bCs w:val="false"/>
                                <w:szCs w:val="16"/>
                                <w:spacing w:val="0"/>
                                <w:vertAlign w:val="baseline"/>
                                <w:position w:val="0"/>
                                <w:sz w:val="16"/>
                                <w:i w:val="false"/>
                                <w:dstrike w:val="false"/>
                                <w:strike w:val="false"/>
                                <w:u w:val="none"/>
                                <w:b w:val="false"/>
                                <w:sz w:val="16"/>
                                <w:rFonts w:asciiTheme="minorHAnsi" w:cstheme="minorBidi" w:eastAsiaTheme="minorEastAsia" w:hAnsiTheme="minorHAnsi" w:eastAsia="Arial" w:cs="Arial" w:ascii="Arial" w:hAnsi="Arial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082560" y="5760"/>
                          <a:ext cx="6764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61" h="45720">
                              <a:moveTo>
                                <a:pt x="0" y="0"/>
                              </a:moveTo>
                              <a:lnTo>
                                <a:pt x="676961" y="0"/>
                              </a:lnTo>
                              <a:lnTo>
                                <a:pt x="676961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1480"/>
                          <a:ext cx="72360" cy="170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3152" h="1706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686640" y="51480"/>
                          <a:ext cx="72360" cy="170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3152" h="170688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170688"/>
                              </a:ln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64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61" h="45720">
                              <a:moveTo>
                                <a:pt x="0" y="0"/>
                              </a:moveTo>
                              <a:lnTo>
                                <a:pt x="676961" y="0"/>
                              </a:lnTo>
                              <a:lnTo>
                                <a:pt x="676961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55640" y="51480"/>
                          <a:ext cx="530280" cy="170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0657" h="170676">
                              <a:moveTo>
                                <a:pt x="0" y="0"/>
                              </a:moveTo>
                              <a:lnTo>
                                <a:pt x="530657" y="0"/>
                              </a:lnTo>
                              <a:lnTo>
                                <a:pt x="530657" y="170676"/>
                              </a:lnTo>
                              <a:lnTo>
                                <a:pt x="0" y="170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55640" y="77400"/>
                          <a:ext cx="9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u w:val="none"/>
                                <w:dstrike w:val="false"/>
                                <w:strike w:val="false"/>
                                <w:i w:val="false"/>
                                <w:vertAlign w:val="baseline"/>
                                <w:position w:val="0"/>
                                <w:spacing w:val="0"/>
                                <w:szCs w:val="24"/>
                                <w:bCs w:val="false"/>
                                <w:iCs w:val="false"/>
                                <w:smallCaps w:val="false"/>
                                <w:caps w:val="false"/>
                                <w:rFonts w:ascii="Aptos" w:hAnsi="Aptos" w:eastAsia="" w:cs="" w:asciiTheme="minorHAnsi" w:cstheme="minorBidi" w:eastAsiaTheme="minorEastAsia" w:hAnsiTheme="minorHAnsi"/>
                                <w:color w:val="auto"/>
                                <w14:ligatures w14:val="standardContextual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26200" y="77400"/>
                          <a:ext cx="4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160" w:lineRule="auto" w:line="256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u w:val="none"/>
                                <w:dstrike w:val="false"/>
                                <w:strike w:val="false"/>
                                <w:i w:val="false"/>
                                <w:vertAlign w:val="baseline"/>
                                <w:position w:val="0"/>
                                <w:spacing w:val="0"/>
                                <w:szCs w:val="24"/>
                                <w:bCs w:val="false"/>
                                <w:iCs w:val="false"/>
                                <w:smallCaps w:val="false"/>
                                <w:caps w:val="false"/>
                                <w:rFonts w:ascii="Aptos" w:hAnsi="Aptos" w:eastAsia="" w:cs="" w:asciiTheme="minorHAnsi" w:cstheme="minorBidi" w:eastAsiaTheme="minorEastAsia" w:hAnsiTheme="minorHAnsi"/>
                                <w:color w:val="auto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rIns="0" tIns="0" bIns="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0" y="0"/>
                          <a:ext cx="60822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9144">
                              <a:moveTo>
                                <a:pt x="0" y="0"/>
                              </a:moveTo>
                              <a:lnTo>
                                <a:pt x="6082030" y="0"/>
                              </a:lnTo>
                              <a:lnTo>
                                <a:pt x="60820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828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9040" y="0"/>
                          <a:ext cx="6685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341" h="9144">
                              <a:moveTo>
                                <a:pt x="0" y="0"/>
                              </a:moveTo>
                              <a:lnTo>
                                <a:pt x="669341" y="0"/>
                              </a:lnTo>
                              <a:lnTo>
                                <a:pt x="669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9040" y="5760"/>
                          <a:ext cx="66852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341" h="45720">
                              <a:moveTo>
                                <a:pt x="0" y="0"/>
                              </a:moveTo>
                              <a:lnTo>
                                <a:pt x="669341" y="0"/>
                              </a:lnTo>
                              <a:lnTo>
                                <a:pt x="669341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437" h="45720">
                              <a:moveTo>
                                <a:pt x="0" y="0"/>
                              </a:moveTo>
                              <a:lnTo>
                                <a:pt x="675437" y="0"/>
                              </a:lnTo>
                              <a:lnTo>
                                <a:pt x="6754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7152" style="position:absolute;margin-left:31.2pt;margin-top:807.6pt;width:532.25pt;height:21.1pt" coordorigin="624,16152" coordsize="10645,422">
              <v:rect id="shape_0" ID="Rectangle 7164" path="m0,0l-2147483645,0l-2147483645,-2147483646l0,-2147483646xe" stroked="f" o:allowincell="f" style="position:absolute;left:759;top:16239;width:691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Referto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65" path="m0,0l-2147483645,0l-2147483645,-2147483646l0,-2147483646xe" stroked="f" o:allowincell="f" style="position:absolute;left:1280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66" path="m0,0l-2147483645,0l-2147483645,-2147483646l0,-2147483646xe" stroked="f" o:allowincell="f" style="position:absolute;left:1323;top:16239;width:1073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emesso dal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67" path="m0,0l-2147483645,0l-2147483645,-2147483646l0,-2147483646xe" stroked="f" o:allowincell="f" style="position:absolute;left:2132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68" path="m0,0l-2147483645,0l-2147483645,-2147483646l0,-2147483646xe" stroked="f" o:allowincell="f" style="position:absolute;left:2177;top:16239;width:674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Centro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69" path="m0,0l-2147483645,0l-2147483645,-2147483646l0,-2147483646xe" stroked="f" o:allowincell="f" style="position:absolute;left:2686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0" path="m0,0l-2147483645,0l-2147483645,-2147483646l0,-2147483646xe" stroked="f" o:allowincell="f" style="position:absolute;left:2727;top:16239;width:1122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Altamedica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1" path="m0,0l-2147483645,0l-2147483645,-2147483646l0,-2147483646xe" stroked="f" o:allowincell="f" style="position:absolute;left:3572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2" path="m0,0l-2147483645,0l-2147483645,-2147483646l0,-2147483646xe" stroked="f" o:allowincell="f" style="position:absolute;left:3615;top:16239;width:164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3" path="m0,0l-2147483645,0l-2147483645,-2147483646l0,-2147483646xe" stroked="f" o:allowincell="f" style="position:absolute;left:3738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4" path="m0,0l-2147483645,0l-2147483645,-2147483646l0,-2147483646xe" stroked="f" o:allowincell="f" style="position:absolute;left:3784;top:16239;width:616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Roma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5" path="m0,0l-2147483645,0l-2147483645,-2147483646l0,-2147483646xe" stroked="f" o:allowincell="f" style="position:absolute;left:4249;top:16264;width:105;height:21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z w:val="16"/>
                          <w:b w:val="false"/>
                          <w:u w:val="none"/>
                          <w:dstrike w:val="false"/>
                          <w:strike w:val="false"/>
                          <w:i/>
                          <w:vertAlign w:val="baseline"/>
                          <w:position w:val="0"/>
                          <w:spacing w:val="0"/>
                          <w:szCs w:val="16"/>
                          <w:bCs w:val="false"/>
                          <w:iCs/>
                          <w:smallCaps w:val="false"/>
                          <w:caps w:val="false"/>
                          <w:rFonts w:ascii="Aptos" w:hAnsi="Aptos" w:eastAsia="" w:cs="" w:asciiTheme="minorHAnsi" w:cstheme="minorBidi" w:eastAsiaTheme="minorEastAsia" w:hAnsiTheme="minorHAnsi"/>
                          <w:color w:val="auto"/>
                          <w14:ligatures w14:val="standardContextual"/>
                        </w:rPr>
                        <w:t>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6" path="m0,0l-2147483645,0l-2147483645,-2147483646l0,-2147483646xe" stroked="f" o:allowincell="f" style="position:absolute;left:4326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7" path="m0,0l-2147483645,0l-2147483645,-2147483646l0,-2147483646xe" stroked="f" o:allowincell="f" style="position:absolute;left:4369;top:16239;width:1961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>Indicazioni alimentari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8" path="m0,0l-2147483645,0l-2147483645,-2147483646l0,-2147483646xe" stroked="f" o:allowincell="f" style="position:absolute;left:5843;top:16239;width:57;height:237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mallCaps w:val="false"/>
                          <w:caps w:val="false"/>
                          <w:iCs w:val="false"/>
                          <w:bCs w:val="false"/>
                          <w:szCs w:val="16"/>
                          <w:spacing w:val="0"/>
                          <w:vertAlign w:val="baseline"/>
                          <w:position w:val="0"/>
                          <w:sz w:val="16"/>
                          <w:i w:val="false"/>
                          <w:dstrike w:val="false"/>
                          <w:strike w:val="false"/>
                          <w:u w:val="none"/>
                          <w:b w:val="false"/>
                          <w:sz w:val="16"/>
                          <w:rFonts w:asciiTheme="minorHAnsi" w:cstheme="minorBidi" w:eastAsiaTheme="minorEastAsia" w:hAnsiTheme="minorHAnsi" w:eastAsia="Arial" w:cs="Arial" w:ascii="Arial" w:hAnsi="Arial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79" path="m0,0l-2147483645,0l-2147483645,-2147483646l0,-2147483646xe" stroked="f" o:allowincell="f" style="position:absolute;left:10318;top:16274;width:147;height:298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z w:val="24"/>
                          <w:b w:val="false"/>
                          <w:u w:val="none"/>
                          <w:dstrike w:val="false"/>
                          <w:strike w:val="false"/>
                          <w:i w:val="false"/>
                          <w:vertAlign w:val="baseline"/>
                          <w:position w:val="0"/>
                          <w:spacing w:val="0"/>
                          <w:szCs w:val="24"/>
                          <w:bCs w:val="false"/>
                          <w:iCs w:val="false"/>
                          <w:smallCaps w:val="false"/>
                          <w:caps w:val="false"/>
                          <w:rFonts w:ascii="Aptos" w:hAnsi="Aptos" w:eastAsia="" w:cs="" w:asciiTheme="minorHAnsi" w:cstheme="minorBidi" w:eastAsiaTheme="minorEastAsia" w:hAnsiTheme="minorHAnsi"/>
                          <w:color w:val="auto"/>
                          <w14:ligatures w14:val="standardContextual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  <v:rect id="shape_0" ID="Rectangle 7180" path="m0,0l-2147483645,0l-2147483645,-2147483646l0,-2147483646xe" stroked="f" o:allowincell="f" style="position:absolute;left:10429;top:16274;width:64;height:298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160" w:lineRule="auto" w:line="256"/>
                        <w:ind w:hanging="0"/>
                        <w:jc w:val="left"/>
                        <w:rPr/>
                      </w:pPr>
                      <w:r>
                        <w:rPr>
                          <w:sz w:val="24"/>
                          <w:b w:val="false"/>
                          <w:u w:val="none"/>
                          <w:dstrike w:val="false"/>
                          <w:strike w:val="false"/>
                          <w:i w:val="false"/>
                          <w:vertAlign w:val="baseline"/>
                          <w:position w:val="0"/>
                          <w:spacing w:val="0"/>
                          <w:szCs w:val="24"/>
                          <w:bCs w:val="false"/>
                          <w:iCs w:val="false"/>
                          <w:smallCaps w:val="false"/>
                          <w:caps w:val="false"/>
                          <w:rFonts w:ascii="Aptos" w:hAnsi="Aptos" w:eastAsia="" w:cs="" w:asciiTheme="minorHAnsi" w:cstheme="minorBidi" w:eastAsiaTheme="minorEastAsia" w:hAnsiTheme="minorHAnsi"/>
                          <w:color w:val="auto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rect>
            </v:group>
          </w:pict>
        </mc:Fallback>
      </mc:AlternateContent>
    </w: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/>
    </w:pPr>
    <w:r>
      <w:drawing>
        <wp:anchor behindDoc="1" distT="0" distB="0" distL="114300" distR="114300" simplePos="0" locked="0" layoutInCell="1" allowOverlap="1" relativeHeight="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Square wrapText="bothSides"/>
          <wp:docPr id="1" name="Picture 11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4"/>
        <w:vertAlign w:val="superscript"/>
      </w:rPr>
      <w:t xml:space="preserve"> </w:t>
    </w:r>
    <w:r>
      <w:rPr>
        <w:rFonts w:eastAsia="Arial" w:cs="Arial" w:ascii="Arial" w:hAnsi="Arial"/>
        <w:b/>
        <w:sz w:val="24"/>
      </w:rPr>
      <w:t xml:space="preserve"> </w:t>
    </w:r>
    <w:r>
      <w:rPr>
        <w:rFonts w:eastAsia="Arial" w:cs="Arial" w:ascii="Arial" w:hAnsi="Arial"/>
        <w:b/>
        <w:color w:val="7F7F7F"/>
        <w:sz w:val="24"/>
      </w:rPr>
      <w:t>Servizio di Genetica Medica</w:t>
    </w:r>
    <w:r>
      <w:rPr>
        <w:rFonts w:eastAsia="Arial" w:cs="Arial" w:ascii="Arial" w:hAnsi="Arial"/>
        <w:sz w:val="24"/>
      </w:rPr>
      <w:t xml:space="preserve"> </w:t>
    </w:r>
  </w:p>
  <w:p>
    <w:pPr>
      <w:pStyle w:val="Normal"/>
      <w:spacing w:lineRule="auto" w:line="259" w:before="0" w:after="0"/>
      <w:ind w:left="776" w:right="1056" w:hanging="0"/>
      <w:jc w:val="right"/>
      <w:rPr/>
    </w:pPr>
    <w:r>
      <w:rPr>
        <w:rFonts w:eastAsia="Arial" w:cs="Arial" w:ascii="Arial" w:hAnsi="Arial"/>
        <w:b/>
        <w:color w:val="7F7F7F"/>
        <w:sz w:val="18"/>
      </w:rPr>
      <w:t>ARTEMISIA SPA - P. IVA 00929551000</w:t>
    </w:r>
    <w:r>
      <w:rPr>
        <w:rFonts w:eastAsia="Arial" w:cs="Arial" w:ascii="Arial" w:hAnsi="Arial"/>
        <w:sz w:val="18"/>
      </w:rPr>
      <w:t xml:space="preserve"> </w:t>
    </w:r>
  </w:p>
  <w:p>
    <w:pPr>
      <w:pStyle w:val="Normal"/>
      <w:spacing w:lineRule="auto" w:line="259" w:before="0" w:after="0"/>
      <w:ind w:left="776" w:right="0" w:hanging="0"/>
      <w:jc w:val="left"/>
      <w:rPr/>
    </w:pPr>
    <w:r>
      <w:rPr>
        <w:rFonts w:eastAsia="Arial" w:cs="Arial" w:ascii="Arial" w:hAnsi="Arial"/>
        <w:color w:val="7F7F7F"/>
        <w:sz w:val="16"/>
      </w:rPr>
      <w:t>00198 ROMA - Viale Liegi, 45</w:t>
    </w:r>
    <w:r>
      <w:rPr>
        <w:rFonts w:eastAsia="Arial" w:cs="Arial" w:ascii="Arial" w:hAnsi="Arial"/>
        <w:sz w:val="16"/>
      </w:rPr>
      <w:t xml:space="preserve"> </w:t>
    </w:r>
  </w:p>
  <w:p>
    <w:pPr>
      <w:pStyle w:val="Normal"/>
      <w:spacing w:lineRule="auto" w:line="259" w:before="0" w:after="0"/>
      <w:ind w:left="776" w:right="1012" w:hanging="0"/>
      <w:jc w:val="right"/>
      <w:rPr/>
    </w:pPr>
    <w:r>
      <w:rPr>
        <w:rFonts w:eastAsia="Arial" w:cs="Arial" w:ascii="Arial" w:hAnsi="Arial"/>
        <w:color w:val="7F7F7F"/>
        <w:sz w:val="16"/>
      </w:rPr>
      <w:t xml:space="preserve">Tel 06 85 05 804-5-6 | Centralino 06 85 05 (r.a.)  </w:t>
    </w:r>
  </w:p>
  <w:p>
    <w:pPr>
      <w:pStyle w:val="Normal"/>
      <w:spacing w:lineRule="auto" w:line="240" w:before="0" w:after="0"/>
      <w:ind w:left="1938" w:right="0" w:hanging="1162"/>
      <w:rPr/>
    </w:pPr>
    <w:r>
      <w:rPr>
        <w:rFonts w:eastAsia="Arial" w:cs="Arial" w:ascii="Arial" w:hAnsi="Arial"/>
        <w:b/>
        <w:color w:val="7F7F7F"/>
        <w:sz w:val="16"/>
      </w:rPr>
      <w:t xml:space="preserve">www.altamedica.it - segreteria.geneticamedica@altamedica.it  </w:t>
    </w:r>
    <w:r>
      <w:rPr>
        <w:rFonts w:eastAsia="Arial" w:cs="Arial" w:ascii="Arial" w:hAnsi="Arial"/>
        <w:color w:val="7F7F7F"/>
        <w:sz w:val="18"/>
      </w:rPr>
      <w:t>Resp. Dott. Alvaro Mesoraca</w:t>
    </w:r>
    <w:r>
      <w:rPr>
        <w:rFonts w:eastAsia="Arial" w:cs="Arial" w:ascii="Arial" w:hAnsi="Arial"/>
        <w:sz w:val="18"/>
      </w:rPr>
      <w:t xml:space="preserve"> </w:t>
    </w:r>
  </w:p>
  <w:p>
    <w:pPr>
      <w:pStyle w:val="Normal"/>
      <w:spacing w:lineRule="auto" w:line="259" w:before="0" w:after="26"/>
      <w:ind w:left="776" w:right="991" w:hanging="0"/>
      <w:jc w:val="right"/>
      <w:rPr/>
    </w:pPr>
    <w:r>
      <w:rPr>
        <w:rFonts w:eastAsia="Arial" w:cs="Arial" w:ascii="Arial" w:hAnsi="Arial"/>
        <w:i/>
        <w:color w:val="7F7F7F"/>
        <w:sz w:val="18"/>
      </w:rPr>
      <w:t>Certificazione di Qualità UNI EN ISO 9001</w:t>
    </w:r>
    <w:r>
      <w:rPr>
        <w:rFonts w:eastAsia="Arial" w:cs="Arial" w:ascii="Arial" w:hAnsi="Arial"/>
        <w:sz w:val="18"/>
      </w:rPr>
      <w:t xml:space="preserve"> </w:t>
    </w:r>
  </w:p>
  <w:p>
    <w:pPr>
      <w:pStyle w:val="Normal"/>
      <w:spacing w:lineRule="auto" w:line="259" w:before="0" w:after="0"/>
      <w:ind w:left="0" w:right="0" w:hanging="0"/>
      <w:jc w:val="left"/>
      <w:rPr/>
    </w:pP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>
        <w:rFonts w:ascii="Arial" w:hAnsi="Arial" w:eastAsia="Arial" w:cs="Arial"/>
        <w:sz w:val="24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0" w:hanging="0"/>
      <w:jc w:val="left"/>
      <w:rPr>
        <w:rFonts w:ascii="Arial" w:hAnsi="Arial" w:eastAsia="Arial" w:cs="Arial"/>
        <w:sz w:val="24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69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5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7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1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3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7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6" w:before="0" w:after="203"/>
      <w:ind w:left="724" w:right="1" w:hanging="366"/>
      <w:jc w:val="both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0"/>
      <w:ind w:right="5" w:hanging="0"/>
      <w:jc w:val="right"/>
      <w:outlineLvl w:val="0"/>
    </w:pPr>
    <w:rPr>
      <w:rFonts w:ascii="Cambria" w:hAnsi="Cambria" w:eastAsia="Cambria" w:cs="Cambria"/>
      <w:b/>
      <w:i/>
      <w:color w:val="FF0000"/>
      <w:kern w:val="2"/>
      <w:sz w:val="36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mbria" w:hAnsi="Cambria" w:eastAsia="Cambria" w:cs="Cambria"/>
      <w:b/>
      <w:i/>
      <w:color w:val="FF0000"/>
      <w:sz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3</Pages>
  <Words>943</Words>
  <Characters>5257</Characters>
  <CharactersWithSpaces>6242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2024-08-08T10:34:00Z</dcterms:created>
  <dc:creator>Alessandra</dc:creator>
  <dc:description/>
  <dc:language>en-US</dc:language>
  <cp:lastModifiedBy/>
  <dcterms:modified xsi:type="dcterms:W3CDTF">2024-08-12T10:27:44Z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