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90" w:before="271" w:after="0"/>
        <w:ind w:left="2" w:right="102" w:hanging="0"/>
        <w:jc w:val="center"/>
        <w:rPr/>
      </w:pPr>
      <w:r>
        <w:rPr/>
        <w:t>INDICAZIONI</w:t>
      </w:r>
      <w:r>
        <w:rPr>
          <w:spacing w:val="-16"/>
        </w:rPr>
        <w:t xml:space="preserve"> </w:t>
      </w:r>
      <w:r>
        <w:rPr/>
        <w:t>ALIMENTARI</w:t>
      </w:r>
      <w:r>
        <w:rPr>
          <w:spacing w:val="-12"/>
        </w:rPr>
        <w:t xml:space="preserve"> </w:t>
      </w:r>
      <w:r>
        <w:rPr/>
        <w:t>PER</w:t>
      </w:r>
      <w:r>
        <w:rPr>
          <w:spacing w:val="-13"/>
        </w:rPr>
        <w:t xml:space="preserve"> </w:t>
      </w:r>
      <w:r>
        <w:rPr>
          <w:spacing w:val="-2"/>
        </w:rPr>
        <w:t>VEGANI</w:t>
      </w:r>
    </w:p>
    <w:p>
      <w:pPr>
        <w:pStyle w:val="Normal"/>
        <w:ind w:left="2160" w:right="3147" w:hanging="0"/>
        <w:jc w:val="center"/>
        <w:rPr>
          <w:spacing w:val="-69"/>
          <w:sz w:val="32"/>
        </w:rPr>
      </w:pPr>
      <w:r>
        <w:rPr>
          <w:sz w:val="32"/>
        </w:rPr>
        <w:t xml:space="preserve">         </w:t>
      </w:r>
      <w:r>
        <w:rPr>
          <w:sz w:val="32"/>
        </w:rPr>
        <w:t>NESSUNA</w:t>
      </w:r>
      <w:r>
        <w:rPr>
          <w:spacing w:val="-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</w:p>
    <w:p>
      <w:pPr>
        <w:pStyle w:val="Normal"/>
        <w:ind w:left="2933" w:right="3147" w:hanging="0"/>
        <w:jc w:val="center"/>
        <w:rPr>
          <w:sz w:val="32"/>
        </w:rPr>
      </w:pPr>
      <w:r>
        <w:rPr>
          <w:sz w:val="32"/>
        </w:rPr>
        <w:t>INTOLLERANZA AL GLUTINE ED AL</w:t>
      </w:r>
      <w:r>
        <w:rPr>
          <w:spacing w:val="1"/>
          <w:sz w:val="32"/>
        </w:rPr>
        <w:t xml:space="preserve"> </w:t>
      </w:r>
      <w:r>
        <w:rPr>
          <w:sz w:val="32"/>
        </w:rPr>
        <w:t>LATTOSIO</w:t>
      </w:r>
    </w:p>
    <w:p>
      <w:pPr>
        <w:pStyle w:val="TextBody"/>
        <w:spacing w:before="185" w:after="0"/>
        <w:rPr>
          <w:sz w:val="32"/>
        </w:rPr>
      </w:pPr>
      <w:r>
        <w:rPr>
          <w:sz w:val="32"/>
        </w:rPr>
      </w:r>
    </w:p>
    <w:p>
      <w:pPr>
        <w:pStyle w:val="Normal"/>
        <w:ind w:left="239" w:right="170" w:hanging="0"/>
        <w:rPr>
          <w:sz w:val="20"/>
        </w:rPr>
      </w:pPr>
      <w:r>
        <w:rPr>
          <w:sz w:val="20"/>
        </w:rPr>
        <w:t>Il</w:t>
      </w:r>
      <w:r>
        <w:rPr>
          <w:spacing w:val="21"/>
          <w:sz w:val="20"/>
        </w:rPr>
        <w:t xml:space="preserve"> </w:t>
      </w:r>
      <w:r>
        <w:rPr>
          <w:sz w:val="20"/>
        </w:rPr>
        <w:t>tuo</w:t>
      </w:r>
      <w:r>
        <w:rPr>
          <w:spacing w:val="21"/>
          <w:sz w:val="20"/>
        </w:rPr>
        <w:t xml:space="preserve"> </w:t>
      </w:r>
      <w:r>
        <w:rPr>
          <w:sz w:val="20"/>
        </w:rPr>
        <w:t>profilo</w:t>
      </w:r>
      <w:r>
        <w:rPr>
          <w:spacing w:val="21"/>
          <w:sz w:val="20"/>
        </w:rPr>
        <w:t xml:space="preserve"> </w:t>
      </w:r>
      <w:r>
        <w:rPr>
          <w:sz w:val="20"/>
        </w:rPr>
        <w:t>genetico</w:t>
      </w:r>
      <w:r>
        <w:rPr>
          <w:spacing w:val="21"/>
          <w:sz w:val="20"/>
        </w:rPr>
        <w:t xml:space="preserve"> </w:t>
      </w:r>
      <w:r>
        <w:rPr>
          <w:sz w:val="20"/>
        </w:rPr>
        <w:t>non</w:t>
      </w:r>
      <w:r>
        <w:rPr>
          <w:spacing w:val="21"/>
          <w:sz w:val="20"/>
        </w:rPr>
        <w:t xml:space="preserve"> </w:t>
      </w:r>
      <w:r>
        <w:rPr>
          <w:sz w:val="20"/>
        </w:rPr>
        <w:t>ha</w:t>
      </w:r>
      <w:r>
        <w:rPr>
          <w:spacing w:val="21"/>
          <w:sz w:val="20"/>
        </w:rPr>
        <w:t xml:space="preserve"> </w:t>
      </w:r>
      <w:r>
        <w:rPr>
          <w:sz w:val="20"/>
        </w:rPr>
        <w:t>evidenziato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nessuna predisposizione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relativa</w:t>
      </w:r>
      <w:r>
        <w:rPr>
          <w:spacing w:val="21"/>
          <w:sz w:val="20"/>
        </w:rPr>
        <w:t xml:space="preserve"> </w:t>
      </w:r>
      <w:r>
        <w:rPr>
          <w:sz w:val="20"/>
        </w:rPr>
        <w:t>alle malattie cardiovascolari,</w:t>
      </w:r>
      <w:r>
        <w:rPr>
          <w:spacing w:val="21"/>
          <w:sz w:val="20"/>
        </w:rPr>
        <w:t xml:space="preserve"> </w:t>
      </w:r>
      <w:r>
        <w:rPr>
          <w:sz w:val="20"/>
        </w:rPr>
        <w:t>diabete di tipo 2 o aumento di peso.</w:t>
      </w:r>
    </w:p>
    <w:p>
      <w:pPr>
        <w:pStyle w:val="TextBody"/>
        <w:rPr/>
      </w:pPr>
      <w:r>
        <w:rPr/>
      </w:r>
    </w:p>
    <w:p>
      <w:pPr>
        <w:pStyle w:val="TextBody"/>
        <w:ind w:left="239" w:hanging="0"/>
        <w:rPr/>
      </w:pPr>
      <w:r>
        <w:rPr/>
        <w:t>Ciò</w:t>
      </w:r>
      <w:r>
        <w:rPr>
          <w:spacing w:val="-6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7"/>
        </w:rPr>
        <w:t xml:space="preserve"> </w:t>
      </w:r>
      <w:r>
        <w:rPr/>
        <w:t>che</w:t>
      </w:r>
      <w:r>
        <w:rPr>
          <w:spacing w:val="-6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tua</w:t>
      </w:r>
      <w:r>
        <w:rPr>
          <w:spacing w:val="-6"/>
        </w:rPr>
        <w:t xml:space="preserve"> </w:t>
      </w:r>
      <w:r>
        <w:rPr/>
        <w:t>probabilità</w:t>
      </w:r>
      <w:r>
        <w:rPr>
          <w:spacing w:val="-5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sviluppare</w:t>
      </w:r>
      <w:r>
        <w:rPr>
          <w:spacing w:val="-6"/>
        </w:rPr>
        <w:t xml:space="preserve"> </w:t>
      </w:r>
      <w:r>
        <w:rPr/>
        <w:t>queste</w:t>
      </w:r>
      <w:r>
        <w:rPr>
          <w:spacing w:val="-7"/>
        </w:rPr>
        <w:t xml:space="preserve"> </w:t>
      </w:r>
      <w:r>
        <w:rPr/>
        <w:t>patologie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minore</w:t>
      </w:r>
      <w:r>
        <w:rPr>
          <w:spacing w:val="-7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agli</w:t>
      </w:r>
      <w:r>
        <w:rPr>
          <w:spacing w:val="-7"/>
        </w:rPr>
        <w:t xml:space="preserve"> </w:t>
      </w:r>
      <w:r>
        <w:rPr/>
        <w:t>individui</w:t>
      </w:r>
      <w:r>
        <w:rPr>
          <w:spacing w:val="-6"/>
        </w:rPr>
        <w:t xml:space="preserve"> </w:t>
      </w:r>
      <w:r>
        <w:rPr/>
        <w:t>predisposti</w:t>
      </w:r>
      <w:r>
        <w:rPr>
          <w:spacing w:val="-6"/>
        </w:rPr>
        <w:t xml:space="preserve"> </w:t>
      </w:r>
      <w:r>
        <w:rPr>
          <w:spacing w:val="-2"/>
        </w:rPr>
        <w:t>geneticamente.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70" w:hanging="0"/>
        <w:rPr/>
      </w:pPr>
      <w:r>
        <w:rPr/>
        <w:t>È</w:t>
      </w:r>
      <w:r>
        <w:rPr>
          <w:spacing w:val="38"/>
        </w:rPr>
        <w:t xml:space="preserve"> </w:t>
      </w:r>
      <w:r>
        <w:rPr/>
        <w:t>comunque</w:t>
      </w:r>
      <w:r>
        <w:rPr>
          <w:spacing w:val="37"/>
        </w:rPr>
        <w:t xml:space="preserve"> </w:t>
      </w:r>
      <w:r>
        <w:rPr/>
        <w:t>importante</w:t>
      </w:r>
      <w:r>
        <w:rPr>
          <w:spacing w:val="37"/>
        </w:rPr>
        <w:t xml:space="preserve"> </w:t>
      </w:r>
      <w:r>
        <w:rPr/>
        <w:t>regolare</w:t>
      </w:r>
      <w:r>
        <w:rPr>
          <w:spacing w:val="37"/>
        </w:rPr>
        <w:t xml:space="preserve"> </w:t>
      </w:r>
      <w:r>
        <w:rPr/>
        <w:t>l’assunzione</w:t>
      </w:r>
      <w:r>
        <w:rPr>
          <w:spacing w:val="37"/>
        </w:rPr>
        <w:t xml:space="preserve"> </w:t>
      </w:r>
      <w:r>
        <w:rPr/>
        <w:t>di</w:t>
      </w:r>
      <w:r>
        <w:rPr>
          <w:spacing w:val="40"/>
        </w:rPr>
        <w:t xml:space="preserve"> </w:t>
      </w:r>
      <w:r>
        <w:rPr/>
        <w:t>zuccheri</w:t>
      </w:r>
      <w:r>
        <w:rPr>
          <w:spacing w:val="37"/>
        </w:rPr>
        <w:t xml:space="preserve"> </w:t>
      </w:r>
      <w:r>
        <w:rPr/>
        <w:t>e</w:t>
      </w:r>
      <w:r>
        <w:rPr>
          <w:spacing w:val="37"/>
        </w:rPr>
        <w:t xml:space="preserve"> </w:t>
      </w:r>
      <w:r>
        <w:rPr/>
        <w:t>di</w:t>
      </w:r>
      <w:r>
        <w:rPr>
          <w:spacing w:val="37"/>
        </w:rPr>
        <w:t xml:space="preserve"> </w:t>
      </w:r>
      <w:r>
        <w:rPr/>
        <w:t>carboidrati</w:t>
      </w:r>
      <w:r>
        <w:rPr>
          <w:spacing w:val="38"/>
        </w:rPr>
        <w:t xml:space="preserve"> </w:t>
      </w:r>
      <w:r>
        <w:rPr/>
        <w:t>raffinati</w:t>
      </w:r>
      <w:r>
        <w:rPr>
          <w:spacing w:val="37"/>
        </w:rPr>
        <w:t xml:space="preserve"> </w:t>
      </w:r>
      <w:r>
        <w:rPr/>
        <w:t>per</w:t>
      </w:r>
      <w:r>
        <w:rPr>
          <w:spacing w:val="37"/>
        </w:rPr>
        <w:t xml:space="preserve"> </w:t>
      </w:r>
      <w:r>
        <w:rPr/>
        <w:t>mantenere</w:t>
      </w:r>
      <w:r>
        <w:rPr>
          <w:spacing w:val="37"/>
        </w:rPr>
        <w:t xml:space="preserve"> </w:t>
      </w:r>
      <w:r>
        <w:rPr/>
        <w:t>il</w:t>
      </w:r>
      <w:r>
        <w:rPr>
          <w:spacing w:val="37"/>
        </w:rPr>
        <w:t xml:space="preserve"> </w:t>
      </w:r>
      <w:r>
        <w:rPr/>
        <w:t>controllo</w:t>
      </w:r>
      <w:r>
        <w:rPr>
          <w:spacing w:val="37"/>
        </w:rPr>
        <w:t xml:space="preserve"> </w:t>
      </w:r>
      <w:r>
        <w:rPr/>
        <w:t>glicemico</w:t>
      </w:r>
      <w:r>
        <w:rPr>
          <w:spacing w:val="38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3" w:after="0"/>
        <w:ind w:left="239" w:right="170" w:hanging="0"/>
        <w:rPr/>
      </w:pPr>
      <w:r>
        <w:rPr/>
        <w:t>A livello alimentare si consiglia di prediligere alimenti ricchi di fibre, proteine, carboidrati complessi, acidi grassi monoinsaturi e polinsaturi, vitamine e sali minerali.</w:t>
      </w:r>
    </w:p>
    <w:p>
      <w:pPr>
        <w:pStyle w:val="TextBody"/>
        <w:spacing w:before="243" w:after="0"/>
        <w:ind w:left="239" w:right="170" w:hanging="0"/>
        <w:rPr/>
      </w:pPr>
      <w:r>
        <w:rPr/>
      </w:r>
    </w:p>
    <w:p>
      <w:pPr>
        <w:pStyle w:val="Normal"/>
        <w:ind w:left="239" w:hanging="0"/>
        <w:rPr>
          <w:sz w:val="19"/>
        </w:rPr>
      </w:pPr>
      <w:r>
        <w:rPr>
          <w:sz w:val="19"/>
        </w:rPr>
        <w:t>Il</w:t>
      </w:r>
      <w:r>
        <w:rPr>
          <w:spacing w:val="-3"/>
          <w:sz w:val="19"/>
        </w:rPr>
        <w:t xml:space="preserve"> </w:t>
      </w:r>
      <w:r>
        <w:rPr>
          <w:sz w:val="19"/>
        </w:rPr>
        <w:t>tuo</w:t>
      </w:r>
      <w:r>
        <w:rPr>
          <w:spacing w:val="-2"/>
          <w:sz w:val="19"/>
        </w:rPr>
        <w:t xml:space="preserve"> </w:t>
      </w:r>
      <w:r>
        <w:rPr>
          <w:sz w:val="19"/>
        </w:rPr>
        <w:t>profilo</w:t>
      </w:r>
      <w:r>
        <w:rPr>
          <w:spacing w:val="-2"/>
          <w:sz w:val="19"/>
        </w:rPr>
        <w:t xml:space="preserve"> </w:t>
      </w:r>
      <w:r>
        <w:rPr>
          <w:sz w:val="19"/>
        </w:rPr>
        <w:t>genetico</w:t>
      </w:r>
      <w:r>
        <w:rPr>
          <w:spacing w:val="-1"/>
          <w:sz w:val="19"/>
        </w:rPr>
        <w:t xml:space="preserve"> </w:t>
      </w:r>
      <w:r>
        <w:rPr>
          <w:sz w:val="19"/>
        </w:rPr>
        <w:t>ha</w:t>
      </w:r>
      <w:r>
        <w:rPr>
          <w:spacing w:val="-3"/>
          <w:sz w:val="19"/>
        </w:rPr>
        <w:t xml:space="preserve"> </w:t>
      </w:r>
      <w:r>
        <w:rPr>
          <w:sz w:val="19"/>
        </w:rPr>
        <w:t>inoltre</w:t>
      </w:r>
      <w:r>
        <w:rPr>
          <w:spacing w:val="-1"/>
          <w:sz w:val="19"/>
        </w:rPr>
        <w:t xml:space="preserve"> </w:t>
      </w:r>
      <w:r>
        <w:rPr>
          <w:sz w:val="19"/>
        </w:rPr>
        <w:t>evidenziato</w:t>
      </w:r>
      <w:r>
        <w:rPr>
          <w:spacing w:val="-2"/>
          <w:sz w:val="19"/>
        </w:rPr>
        <w:t xml:space="preserve"> </w:t>
      </w:r>
      <w:r>
        <w:rPr>
          <w:sz w:val="19"/>
        </w:rPr>
        <w:t>una</w:t>
      </w:r>
      <w:r>
        <w:rPr>
          <w:spacing w:val="-7"/>
          <w:sz w:val="19"/>
        </w:rPr>
        <w:t xml:space="preserve"> </w:t>
      </w:r>
      <w:r>
        <w:rPr>
          <w:sz w:val="19"/>
        </w:rPr>
        <w:t>predisposizione</w:t>
      </w:r>
      <w:r>
        <w:rPr>
          <w:spacing w:val="-1"/>
          <w:sz w:val="19"/>
        </w:rPr>
        <w:t xml:space="preserve"> </w:t>
      </w:r>
      <w:r>
        <w:rPr>
          <w:sz w:val="19"/>
        </w:rPr>
        <w:t>genetica</w:t>
      </w:r>
      <w:r>
        <w:rPr>
          <w:spacing w:val="1"/>
          <w:sz w:val="19"/>
        </w:rPr>
        <w:t xml:space="preserve"> </w:t>
      </w:r>
      <w:r>
        <w:rPr>
          <w:b/>
          <w:sz w:val="19"/>
        </w:rPr>
        <w:t>alle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Intolleranze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al Glutine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ed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al Lattosio</w:t>
      </w:r>
      <w:r>
        <w:rPr>
          <w:sz w:val="19"/>
        </w:rPr>
        <w:t>.</w:t>
      </w:r>
    </w:p>
    <w:p>
      <w:pPr>
        <w:pStyle w:val="TextBody"/>
        <w:spacing w:before="4" w:after="0"/>
        <w:ind w:left="239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6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1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intolleranze è</w:t>
      </w:r>
      <w:r>
        <w:rPr>
          <w:spacing w:val="1"/>
        </w:rPr>
        <w:t xml:space="preserve"> </w:t>
      </w:r>
      <w:r>
        <w:rPr/>
        <w:t>più alta</w:t>
      </w:r>
      <w:r>
        <w:rPr>
          <w:spacing w:val="-6"/>
        </w:rPr>
        <w:t xml:space="preserve"> </w:t>
      </w:r>
      <w:r>
        <w:rPr/>
        <w:t>rispetto</w:t>
      </w:r>
      <w:r>
        <w:rPr>
          <w:spacing w:val="-1"/>
        </w:rPr>
        <w:t xml:space="preserve"> </w:t>
      </w:r>
      <w:r>
        <w:rPr/>
        <w:t>alla</w:t>
      </w:r>
      <w:r>
        <w:rPr>
          <w:spacing w:val="-5"/>
        </w:rPr>
        <w:t xml:space="preserve"> </w:t>
      </w:r>
      <w:r>
        <w:rPr/>
        <w:t>popolazione</w:t>
      </w:r>
      <w:r>
        <w:rPr>
          <w:spacing w:val="-5"/>
        </w:rPr>
        <w:t xml:space="preserve"> </w:t>
      </w:r>
      <w:r>
        <w:rPr/>
        <w:t>media.</w:t>
      </w:r>
      <w:bookmarkStart w:id="0" w:name="_GoBack"/>
      <w:bookmarkEnd w:id="0"/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right="182" w:hanging="0"/>
        <w:rPr/>
      </w:pPr>
      <w:r>
        <w:rPr/>
        <w:t>La celiachia o morbo celiaco è una malattia autoimmune cronica causata da una reazione anomala alla gliadina, proteina del glutine</w:t>
      </w:r>
      <w:r>
        <w:rPr>
          <w:spacing w:val="-43"/>
        </w:rPr>
        <w:t xml:space="preserve"> </w:t>
      </w:r>
      <w:r>
        <w:rPr/>
        <w:t>contenuta in molti cereali; la malattia celiaca si sviluppa in individui geneticamente predisposti. In particolare, lo sviluppo della</w:t>
      </w:r>
      <w:r>
        <w:rPr>
          <w:spacing w:val="1"/>
        </w:rPr>
        <w:t xml:space="preserve"> </w:t>
      </w:r>
      <w:r>
        <w:rPr/>
        <w:t>celiachia è associato in letteratura scientifica alla presenza di specifiche varianti di geni del sistema immunitario, le glicoproteine</w:t>
      </w:r>
      <w:r>
        <w:rPr>
          <w:spacing w:val="1"/>
        </w:rPr>
        <w:t xml:space="preserve"> </w:t>
      </w:r>
      <w:r>
        <w:rPr/>
        <w:t>HLA (Capittini</w:t>
      </w:r>
      <w:r>
        <w:rPr>
          <w:spacing w:val="4"/>
        </w:rPr>
        <w:t xml:space="preserve"> </w:t>
      </w:r>
      <w:r>
        <w:rPr/>
        <w:t>C,</w:t>
      </w:r>
      <w:r>
        <w:rPr>
          <w:spacing w:val="-5"/>
        </w:rPr>
        <w:t xml:space="preserve"> </w:t>
      </w:r>
      <w:r>
        <w:rPr/>
        <w:t>et.</w:t>
      </w:r>
      <w:r>
        <w:rPr>
          <w:spacing w:val="-1"/>
        </w:rPr>
        <w:t xml:space="preserve"> </w:t>
      </w:r>
      <w:r>
        <w:rPr/>
        <w:t>al.</w:t>
      </w:r>
      <w:r>
        <w:rPr>
          <w:spacing w:val="-1"/>
        </w:rPr>
        <w:t xml:space="preserve"> </w:t>
      </w:r>
      <w:r>
        <w:rPr/>
        <w:t>Medicina (Kaunas).</w:t>
      </w:r>
      <w:r>
        <w:rPr>
          <w:spacing w:val="4"/>
        </w:rPr>
        <w:t xml:space="preserve"> </w:t>
      </w:r>
      <w:r>
        <w:rPr/>
        <w:t>2019</w:t>
      </w:r>
      <w:r>
        <w:rPr>
          <w:spacing w:val="-4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22;55(5):190.)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ind w:left="239" w:right="273" w:hanging="0"/>
        <w:rPr/>
      </w:pPr>
      <w:r>
        <w:rPr/>
        <w:t>Nel suo caso essendo emersa, dai test genetici, una predisposizione alla intolleranza al glutine, la seguente tabella relativa</w:t>
      </w:r>
      <w:r>
        <w:rPr>
          <w:spacing w:val="1"/>
        </w:rPr>
        <w:t xml:space="preserve"> </w:t>
      </w:r>
      <w:r>
        <w:rPr/>
        <w:t>all’assunzione dei CARBOIDRATI esclude, dalla dieta alimentare i cibi che lo contengono. Ciò è utilissimo per prevenire l’insorgenza</w:t>
      </w:r>
      <w:r>
        <w:rPr>
          <w:spacing w:val="-43"/>
        </w:rPr>
        <w:t xml:space="preserve"> </w:t>
      </w:r>
      <w:r>
        <w:rPr/>
        <w:t>della patologia da intolleranza ma non deve essere seguito pedissequamente se non dopo consiglio del proprio medico, dopo aver</w:t>
      </w:r>
      <w:r>
        <w:rPr>
          <w:spacing w:val="-43"/>
        </w:rPr>
        <w:t xml:space="preserve"> </w:t>
      </w:r>
      <w:r>
        <w:rPr/>
        <w:t>verificato</w:t>
      </w:r>
      <w:r>
        <w:rPr>
          <w:spacing w:val="-4"/>
        </w:rPr>
        <w:t xml:space="preserve"> </w:t>
      </w:r>
      <w:r>
        <w:rPr/>
        <w:t>l’eventuale</w:t>
      </w:r>
      <w:r>
        <w:rPr>
          <w:spacing w:val="-2"/>
        </w:rPr>
        <w:t xml:space="preserve"> </w:t>
      </w:r>
      <w:r>
        <w:rPr/>
        <w:t>manifestazione</w:t>
      </w:r>
      <w:r>
        <w:rPr>
          <w:spacing w:val="-2"/>
        </w:rPr>
        <w:t xml:space="preserve"> </w:t>
      </w:r>
      <w:r>
        <w:rPr/>
        <w:t>clinica</w:t>
      </w:r>
      <w:r>
        <w:rPr>
          <w:spacing w:val="-4"/>
        </w:rPr>
        <w:t xml:space="preserve"> </w:t>
      </w:r>
      <w:r>
        <w:rPr/>
        <w:t>della</w:t>
      </w:r>
      <w:r>
        <w:rPr>
          <w:spacing w:val="-3"/>
        </w:rPr>
        <w:t xml:space="preserve"> </w:t>
      </w:r>
      <w:r>
        <w:rPr/>
        <w:t>predisposizione</w:t>
      </w:r>
      <w:r>
        <w:rPr>
          <w:spacing w:val="-3"/>
        </w:rPr>
        <w:t xml:space="preserve"> </w:t>
      </w:r>
      <w:r>
        <w:rPr/>
        <w:t>(che</w:t>
      </w:r>
      <w:r>
        <w:rPr>
          <w:spacing w:val="-3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chiama</w:t>
      </w:r>
      <w:r>
        <w:rPr>
          <w:spacing w:val="-3"/>
        </w:rPr>
        <w:t xml:space="preserve"> </w:t>
      </w:r>
      <w:r>
        <w:rPr/>
        <w:t>celiachia).</w:t>
      </w:r>
      <w:r>
        <w:rPr>
          <w:spacing w:val="-1"/>
        </w:rPr>
        <w:t xml:space="preserve"> </w:t>
      </w:r>
      <w:r>
        <w:rPr/>
        <w:t>Questo</w:t>
      </w:r>
      <w:r>
        <w:rPr>
          <w:spacing w:val="-4"/>
        </w:rPr>
        <w:t xml:space="preserve"> </w:t>
      </w:r>
      <w:r>
        <w:rPr/>
        <w:t>può</w:t>
      </w:r>
      <w:r>
        <w:rPr>
          <w:spacing w:val="-5"/>
        </w:rPr>
        <w:t xml:space="preserve"> </w:t>
      </w:r>
      <w:r>
        <w:rPr/>
        <w:t>essere</w:t>
      </w:r>
      <w:r>
        <w:rPr>
          <w:spacing w:val="-2"/>
        </w:rPr>
        <w:t xml:space="preserve"> </w:t>
      </w:r>
      <w:r>
        <w:rPr/>
        <w:t>fatto</w:t>
      </w:r>
      <w:r>
        <w:rPr>
          <w:spacing w:val="-4"/>
        </w:rPr>
        <w:t xml:space="preserve"> </w:t>
      </w:r>
      <w:r>
        <w:rPr/>
        <w:t>mediante</w:t>
      </w:r>
    </w:p>
    <w:p>
      <w:pPr>
        <w:pStyle w:val="TextBody"/>
        <w:spacing w:before="3" w:after="0"/>
        <w:ind w:left="239" w:right="108" w:hanging="0"/>
        <w:rPr/>
      </w:pPr>
      <w:r>
        <w:rPr/>
        <w:t>l’esecuzione dei test sugli anticorpi specifici (Anticorpi antiendomisio IgA + IgG - Anti transglutaminasi IgA + IgG - Antigliadina IgA +</w:t>
      </w:r>
      <w:r>
        <w:rPr>
          <w:spacing w:val="1"/>
        </w:rPr>
        <w:t xml:space="preserve"> </w:t>
      </w:r>
      <w:r>
        <w:rPr/>
        <w:t>IgG) oppure, se la situazione clinica lo richiedesse, il suo medico prescriverà la gastroscopia con biopsia diagnostica. Se da questi test</w:t>
      </w:r>
      <w:r>
        <w:rPr>
          <w:spacing w:val="-43"/>
        </w:rPr>
        <w:t xml:space="preserve"> </w:t>
      </w:r>
      <w:r>
        <w:rPr/>
        <w:t>emergesse già l’esistenza della manifestazione clinica della sua predisposizione (quindi si diagnosticasse in atto una celiachia) sarà il</w:t>
      </w:r>
      <w:r>
        <w:rPr>
          <w:spacing w:val="1"/>
        </w:rPr>
        <w:t xml:space="preserve"> </w:t>
      </w:r>
      <w:r>
        <w:rPr/>
        <w:t>medico curante a stabilire in quale misura (anche assoluta) andrà seguita la seguente tabella di privazione degli alimenti contenenti</w:t>
      </w:r>
      <w:r>
        <w:rPr>
          <w:spacing w:val="1"/>
        </w:rPr>
        <w:t xml:space="preserve"> </w:t>
      </w:r>
      <w:r>
        <w:rPr/>
        <w:t>glutine.</w:t>
      </w:r>
    </w:p>
    <w:p>
      <w:pPr>
        <w:pStyle w:val="TextBody"/>
        <w:rPr/>
      </w:pPr>
      <w:r>
        <w:rPr/>
      </w:r>
    </w:p>
    <w:p>
      <w:pPr>
        <w:pStyle w:val="TextBody"/>
        <w:ind w:left="239" w:right="192" w:hanging="0"/>
        <w:rPr/>
      </w:pPr>
      <w:r>
        <w:rPr/>
        <w:t>L’intolleranza al lattosio è l’incapacità di digerire lo zucchero Lattosio a causa di una carenza dell’enzima digestivo Lattasi. Ciò può</w:t>
      </w:r>
      <w:r>
        <w:rPr>
          <w:spacing w:val="1"/>
        </w:rPr>
        <w:t xml:space="preserve"> </w:t>
      </w:r>
      <w:r>
        <w:rPr/>
        <w:t>causare sintomi gastrointestinali come diarrea e crampi addominali. Trattandosi di predisposizione genetica e non di diagnosi di</w:t>
      </w:r>
      <w:r>
        <w:rPr>
          <w:spacing w:val="1"/>
        </w:rPr>
        <w:t xml:space="preserve"> </w:t>
      </w:r>
      <w:r>
        <w:rPr/>
        <w:t>intolleranza al lattosio è possibile, ma non consigliato, assumere alimenti contenenti lattosio. Invece, è strettamente raccomandato</w:t>
      </w:r>
      <w:r>
        <w:rPr>
          <w:spacing w:val="-43"/>
        </w:rPr>
        <w:t xml:space="preserve"> </w:t>
      </w:r>
      <w:r>
        <w:rPr/>
        <w:t>attenersi alle indicazioni della tabella sottostante relativa all’assunzione di Proteine. Per avere una diagnosi di Intolleranza al</w:t>
      </w:r>
      <w:r>
        <w:rPr>
          <w:spacing w:val="1"/>
        </w:rPr>
        <w:t xml:space="preserve"> </w:t>
      </w:r>
      <w:r>
        <w:rPr/>
        <w:t>Lattosio</w:t>
      </w:r>
      <w:r>
        <w:rPr>
          <w:spacing w:val="-4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eseguire</w:t>
      </w:r>
      <w:r>
        <w:rPr>
          <w:spacing w:val="-2"/>
        </w:rPr>
        <w:t xml:space="preserve"> </w:t>
      </w:r>
      <w:r>
        <w:rPr/>
        <w:t>il</w:t>
      </w:r>
      <w:r>
        <w:rPr>
          <w:spacing w:val="2"/>
        </w:rPr>
        <w:t xml:space="preserve"> </w:t>
      </w:r>
      <w:r>
        <w:rPr>
          <w:i/>
        </w:rPr>
        <w:t>Breath</w:t>
      </w:r>
      <w:r>
        <w:rPr>
          <w:i/>
          <w:spacing w:val="-1"/>
        </w:rPr>
        <w:t xml:space="preserve"> </w:t>
      </w:r>
      <w:r>
        <w:rPr>
          <w:i/>
        </w:rPr>
        <w:t>Test</w:t>
      </w:r>
      <w:r>
        <w:rPr/>
        <w:t>.</w:t>
      </w:r>
    </w:p>
    <w:p>
      <w:pPr>
        <w:pStyle w:val="TextBody"/>
        <w:spacing w:before="243" w:after="0"/>
        <w:ind w:left="239" w:right="170" w:hanging="0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37" w:after="1"/>
        <w:rPr>
          <w:b/>
          <w:b/>
          <w:bCs/>
        </w:rPr>
      </w:pPr>
      <w:r>
        <w:rPr>
          <w:b/>
          <w:bCs/>
        </w:rPr>
      </w:r>
    </w:p>
    <w:tbl>
      <w:tblPr>
        <w:tblStyle w:val="TableNormal"/>
        <w:tblpPr w:bottomFromText="0" w:horzAnchor="text" w:leftFromText="141" w:rightFromText="141" w:tblpX="0" w:tblpXSpec="center" w:tblpY="2179" w:topFromText="0" w:vertAnchor="margin"/>
        <w:tblW w:w="10181" w:type="dxa"/>
        <w:jc w:val="center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4"/>
      </w:tblGrid>
      <w:tr>
        <w:trPr>
          <w:trHeight w:val="1409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5" w:after="0"/>
              <w:jc w:val="center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1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</w:t>
            </w:r>
          </w:p>
        </w:tc>
      </w:tr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5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7" w:before="1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9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3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8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3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</w:sectPr>
      </w:pPr>
    </w:p>
    <w:p>
      <w:pPr>
        <w:pStyle w:val="Heading1"/>
        <w:ind w:left="649" w:hanging="0"/>
        <w:rPr/>
      </w:pPr>
      <w:r>
        <w:rPr/>
        <w:t>CONSIGLI</w:t>
      </w:r>
      <w:r>
        <w:rPr>
          <w:spacing w:val="-14"/>
        </w:rPr>
        <w:t xml:space="preserve"> </w:t>
      </w:r>
      <w:r>
        <w:rPr/>
        <w:t>ALIMENTARI</w:t>
      </w:r>
      <w:r>
        <w:rPr>
          <w:spacing w:val="-14"/>
        </w:rPr>
        <w:t xml:space="preserve"> </w:t>
      </w:r>
      <w:r>
        <w:rPr/>
        <w:t>PERSONALIZZATI</w:t>
      </w:r>
      <w:r>
        <w:rPr>
          <w:spacing w:val="-1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3"/>
        </w:rPr>
        <w:t xml:space="preserve"> </w:t>
      </w:r>
      <w:r>
        <w:rPr/>
        <w:t>AL</w:t>
      </w:r>
      <w:r>
        <w:rPr>
          <w:spacing w:val="-13"/>
        </w:rPr>
        <w:t xml:space="preserve"> </w:t>
      </w:r>
      <w:r>
        <w:rPr/>
        <w:t>PROFILO</w:t>
      </w:r>
      <w:r>
        <w:rPr>
          <w:spacing w:val="-12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0" w:after="1"/>
        <w:rPr>
          <w:b/>
          <w:b/>
        </w:rPr>
      </w:pPr>
      <w:r>
        <w:rPr>
          <w:b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3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224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186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48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right="72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ALIMENTI</w:t>
            </w:r>
            <w:r>
              <w:rPr>
                <w:rFonts w:ascii="Cambria" w:hAnsi="Cambria"/>
                <w:b/>
                <w:i/>
                <w:spacing w:val="-1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 xml:space="preserve">PROTEICI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ALTERNATIVI</w:t>
            </w:r>
          </w:p>
          <w:p>
            <w:pPr>
              <w:pStyle w:val="TableParagraph"/>
              <w:widowControl w:val="false"/>
              <w:spacing w:before="0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Tempeh, prodotti alimentari a base di mopur, prodotti a base di konjac (es: pasta shirataki)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55" w:right="15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Seitan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hamburger di seitan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74" w:right="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Prodotti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vegetali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troppo lavorati,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prodotti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base di soia troppo lavorati (fare attenzione</w:t>
            </w:r>
          </w:p>
          <w:p>
            <w:pPr>
              <w:pStyle w:val="TableParagraph"/>
              <w:widowControl w:val="false"/>
              <w:spacing w:before="2" w:after="0"/>
              <w:ind w:left="628" w:right="621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all’etichetta nutrizionale)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right="18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 (neri,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borlotti,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cannellini),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 comuni,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55" w:right="15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9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soia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00" w:after="0"/>
        <w:rPr>
          <w:b/>
          <w:b/>
        </w:rPr>
      </w:pPr>
      <w:r>
        <w:rPr>
          <w:b/>
        </w:rPr>
      </w:r>
    </w:p>
    <w:tbl>
      <w:tblPr>
        <w:tblStyle w:val="TableNormal"/>
        <w:tblW w:w="10758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4"/>
        <w:gridCol w:w="292"/>
        <w:gridCol w:w="2404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4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6" w:right="228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79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5" w:right="228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left"/>
              <w:rPr>
                <w:rFonts w:ascii="Cambria" w:hAnsi="Cambria"/>
                <w:i/>
                <w:i/>
                <w:spacing w:val="-4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left"/>
              <w:rPr>
                <w:rFonts w:ascii="Cambria" w:hAnsi="Cambria"/>
                <w:i/>
                <w:i/>
                <w:spacing w:val="-4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3" w:right="306" w:firstLine="39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 basmati,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</w:p>
          <w:p>
            <w:pPr>
              <w:pStyle w:val="TableParagraph"/>
              <w:widowControl w:val="false"/>
              <w:spacing w:before="2" w:after="0"/>
              <w:ind w:left="840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miglio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8" w:right="330" w:firstLine="33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 giallo,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patate,patate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88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" w:after="0"/>
              <w:ind w:left="23" w:right="25" w:hanging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 pasta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 integrale, orzo,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farro, grissini, cracker,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 in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1" w:right="11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6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2" w:right="10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 di legumi, cous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94" w:after="0"/>
              <w:ind w:left="3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94" w:after="0"/>
              <w:ind w:left="887" w:right="268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 max 1 volta 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114" w:right="111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Mele, pere, nespole, fragole,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 cocco, ribes, rosso, frutti di bosco mirtilli, 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532" w:right="147" w:hanging="38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 arance, pesche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171" w:right="173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melone,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43" w:after="0"/>
        <w:rPr>
          <w:b/>
          <w:b/>
        </w:rPr>
      </w:pPr>
      <w:r>
        <w:rPr>
          <w:b/>
        </w:rPr>
      </w:r>
    </w:p>
    <w:tbl>
      <w:tblPr>
        <w:tblStyle w:val="TableNormal"/>
        <w:tblW w:w="10756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3"/>
        <w:gridCol w:w="2409"/>
        <w:gridCol w:w="283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23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3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230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12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3" w:after="0"/>
              <w:ind w:left="122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1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18" w:right="220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 avocado, olio extra vergine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 fresco, cioccolato fondente 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504" w:right="498" w:firstLine="14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</w:tr>
      <w:tr>
        <w:trPr>
          <w:trHeight w:val="311" w:hRule="atLeast"/>
        </w:trPr>
        <w:tc>
          <w:tcPr>
            <w:tcW w:w="1075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 giorni,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carboidrati raffinati, fritture</w:t>
            </w:r>
          </w:p>
        </w:tc>
      </w:tr>
    </w:tbl>
    <w:p>
      <w:pPr>
        <w:pStyle w:val="TextBody"/>
        <w:spacing w:before="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ind w:left="239" w:right="17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TextBody"/>
        <w:spacing w:before="178" w:after="0"/>
        <w:rPr/>
      </w:pPr>
      <w:r>
        <w:rPr/>
      </w:r>
    </w:p>
    <w:p>
      <w:pPr>
        <w:pStyle w:val="Normal"/>
        <w:spacing w:before="1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79" w:after="0"/>
        <w:ind w:left="239" w:right="336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6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350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In</w:t>
      </w:r>
      <w:r>
        <w:rPr>
          <w:spacing w:val="-5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3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5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</w:t>
      </w:r>
      <w:r>
        <w:rPr>
          <w:spacing w:val="-5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4"/>
        </w:rPr>
        <w:t xml:space="preserve"> </w:t>
      </w:r>
      <w:r>
        <w:rPr/>
        <w:t>tra</w:t>
      </w:r>
      <w:r>
        <w:rPr>
          <w:spacing w:val="-5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pranzo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342" w:hanging="0"/>
        <w:jc w:val="both"/>
        <w:rPr/>
      </w:pPr>
      <w:r>
        <w:rPr/>
        <w:t>Una verdura cruda prima del pasto (lattuga, rucola, finocchio, sedano, cetriolo, radicchio) aiuta ad abbassare l’indice glicemico dell’intero pasto e promuove la funzionalità del fegato.</w:t>
      </w:r>
    </w:p>
    <w:p>
      <w:pPr>
        <w:pStyle w:val="TextBody"/>
        <w:spacing w:before="38" w:after="0"/>
        <w:rPr/>
      </w:pPr>
      <w:r>
        <w:rPr/>
      </w:r>
    </w:p>
    <w:p>
      <w:pPr>
        <w:pStyle w:val="TextBody"/>
        <w:ind w:left="239" w:right="354" w:hanging="0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 profilo genetico, il loro consumo è consigliato massimo 1 volta a settimana.</w:t>
      </w:r>
    </w:p>
    <w:p>
      <w:pPr>
        <w:pStyle w:val="TextBody"/>
        <w:spacing w:before="36" w:after="0"/>
        <w:rPr/>
      </w:pPr>
      <w:r>
        <w:rPr/>
      </w:r>
    </w:p>
    <w:p>
      <w:pPr>
        <w:pStyle w:val="Normal"/>
        <w:ind w:left="239" w:hanging="0"/>
        <w:rPr>
          <w:sz w:val="20"/>
        </w:rPr>
      </w:pPr>
      <w:r>
        <w:rPr>
          <w:spacing w:val="-10"/>
          <w:sz w:val="20"/>
        </w:rPr>
        <w:t>.</w:t>
      </w:r>
    </w:p>
    <w:sectPr>
      <w:headerReference w:type="default" r:id="rId7"/>
      <w:footerReference w:type="default" r:id="rId8"/>
      <w:type w:val="nextPage"/>
      <w:pgSz w:w="11920" w:h="16850"/>
      <w:pgMar w:left="500" w:right="420" w:gutter="0" w:header="719" w:top="2260" w:footer="626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71" w:after="0"/>
      <w:ind w:left="2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uiPriority w:val="1"/>
    <w:qFormat/>
    <w:rsid w:val="00a27b67"/>
    <w:rPr>
      <w:rFonts w:ascii="Calibri" w:hAnsi="Calibri" w:eastAsia="Calibri" w:cs="Calibri"/>
      <w:sz w:val="20"/>
      <w:szCs w:val="20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yperlink" Target="https://www.ilgiornaledelcibo.it/finocchi-ricette/" TargetMode="External"/><Relationship Id="rId7" Type="http://schemas.openxmlformats.org/officeDocument/2006/relationships/header" Target="header3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1180</Words>
  <Characters>6928</Characters>
  <CharactersWithSpaces>8012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2024-07-09T07:56:00Z</dcterms:created>
  <dc:creator>Alessandra</dc:creator>
  <dc:description/>
  <dc:language>en-US</dc:language>
  <cp:lastModifiedBy/>
  <dcterms:modified xsi:type="dcterms:W3CDTF">2024-07-24T11:01:57Z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2024-07-09T00:00:00Z</vt:filetime>
  </property>
  <property fmtid="{D5CDD505-2E9C-101B-9397-08002B2CF9AE}" pid="5" name="Producer">
    <vt:lpwstr>Microsoft® Word 2010</vt:lpwstr>
  </property>
</Properties>
</file>