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left="125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270" distB="0" distL="635" distR="635" simplePos="0" locked="0" layoutInCell="0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0" w:right="0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F10D0C"/>
          <w:spacing w:val="-1"/>
          <w:sz w:val="36"/>
        </w:rPr>
        <w:t>GENEFOOD JUNIOR</w:t>
      </w:r>
      <w:r>
        <w:rPr>
          <w:b/>
          <w:color w:val="3BA1DA"/>
          <w:spacing w:val="-1"/>
          <w:sz w:val="36"/>
        </w:rPr>
        <w:br/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1270" distB="0" distL="635" distR="635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left="108" w:hanging="0"/>
        <w:rPr>
          <w:rFonts w:ascii="Arial" w:hAnsi="Arial"/>
          <w:b/>
          <w:b/>
          <w:spacing w:val="-1"/>
          <w:sz w:val="32"/>
          <w:szCs w:val="24"/>
        </w:rPr>
      </w:pPr>
      <w:r>
        <w:rPr>
          <w:rFonts w:ascii="Arial" w:hAnsi="Arial"/>
          <w:b/>
          <w:spacing w:val="-1"/>
          <w:sz w:val="32"/>
        </w:rPr>
        <w:t>Sig.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Marco Rossi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1"/>
        <w:gridCol w:w="3619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07/11/2024 12:29:39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739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19/02/2019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25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112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19.93 (Normopeso)</w:t>
            </w:r>
          </w:p>
        </w:tc>
      </w:tr>
    </w:tbl>
    <w:p>
      <w:pPr>
        <w:pStyle w:val="Normal"/>
        <w:spacing w:before="72" w:after="0"/>
        <w:ind w:left="1682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SINDROME METABOLICA (MetS)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PREDISPOSIZIONE GENETICA (MEDIA) ALLA SINDROME METABOLICA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lang w:val="it-IT" w:eastAsia="en-US" w:bidi="ar-SA"/>
              </w:rPr>
              <w:t>PREDISPOSIZIONE GENETICA AD UNA ELEVATA  SENSIBILITA' ALLA CAFFEINA</w:t>
            </w:r>
          </w:p>
        </w:tc>
      </w:tr>
    </w:tbl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spacing w:val="-1"/>
                <w:kern w:val="0"/>
                <w:sz w:val="24"/>
                <w:szCs w:val="24"/>
                <w:lang w:val="it-IT" w:eastAsia="en-US" w:bidi="ar-SA"/>
              </w:rPr>
              <w:t>INSORGENZA DI CARIE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it-IT" w:eastAsia="en-US" w:bidi="ar-SA"/>
              </w:rPr>
              <w:t>PREDISPOSIZIONE GENETICA (ALTA) ALLE CARIE DENTALI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3BA1DA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it-IT" w:eastAsia="en-US" w:bidi="ar-SA"/>
              </w:rPr>
              <w:t>DISFUNZIONI METABOLICHE VITAMINE/MINERALI E FRAGILITA’ OSSEA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PREDISPOSIZIONE GENETICA AD ELEVATI LIVELLI DI FERRO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108" w:hanging="0"/>
        <w:rPr/>
      </w:pPr>
      <w:r>
        <w:rPr>
          <w:position w:val="20"/>
        </w:rPr>
        <w:tab/>
      </w:r>
    </w:p>
    <w:p>
      <w:pPr>
        <w:pStyle w:val="Normal"/>
        <w:spacing w:lineRule="auto" w:line="276" w:before="12" w:after="0"/>
        <w:ind w:left="108" w:right="116" w:hanging="0"/>
        <w:rPr>
          <w:b/>
          <w:b/>
          <w:sz w:val="16"/>
          <w:szCs w:val="16"/>
          <w:u w:val="single" w:color="000000"/>
          <w:lang w:val="it-IT"/>
        </w:rPr>
      </w:pPr>
      <w:r>
        <w:rPr>
          <w:b/>
          <w:sz w:val="16"/>
          <w:szCs w:val="16"/>
          <w:u w:val="single" w:color="000000"/>
          <w:lang w:val="it-IT"/>
        </w:rPr>
      </w:r>
    </w:p>
    <w:p>
      <w:pPr>
        <w:pStyle w:val="Normal"/>
        <w:spacing w:lineRule="auto" w:line="276" w:before="12" w:after="0"/>
        <w:ind w:left="108" w:right="116" w:hanging="0"/>
        <w:rPr>
          <w:sz w:val="16"/>
          <w:szCs w:val="16"/>
        </w:rPr>
      </w:pPr>
      <w:r>
        <w:rPr>
          <w:b/>
          <w:sz w:val="16"/>
          <w:szCs w:val="16"/>
          <w:u w:val="single" w:color="000000"/>
          <w:lang w:val="it-IT"/>
        </w:rPr>
        <w:t>N.B.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La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sintesi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sopra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riportata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non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è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una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(le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cliniche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spettano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al</w:t>
      </w:r>
      <w:r>
        <w:rPr>
          <w:b/>
          <w:spacing w:val="40"/>
          <w:sz w:val="16"/>
          <w:szCs w:val="16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medico).</w:t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PREDISPOSIZIONE GENETICA ALLA SINDORME METABOLICA (MetS)</w:t>
      </w:r>
    </w:p>
    <w:p>
      <w:pPr>
        <w:pStyle w:val="Normal"/>
        <w:spacing w:lineRule="auto" w:line="276" w:before="69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spacing w:val="-2"/>
          <w:lang w:val="it-IT"/>
        </w:rPr>
        <w:t>Negli ultimi anni, in concomitanza con l’aumento dei casi di obesità nell’età pediatrica, si è osservato un importante incremento della prevalenza di sindrome metabolica (MetS) nei bambini e negli adolescenti. La MetS è molto frequente e altera il peso anche in casi di sola alimentazione poco corretta e può alterare il metabolismo glicemico e lipidico fin dalla giovane età. Le modificazioni dello stile di vita, interessanti sia le abitudini alimentari che l’attività motoria, rimangono a tutt’oggi il punto cardine della gestione e del trattamento della MetS in età pediatrica e adolescenziale.</w:t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(MEDIA) ALLA SINDROME METABOLICA.</w:t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7"/>
        <w:gridCol w:w="2697"/>
        <w:gridCol w:w="312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5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0"/>
        <w:gridCol w:w="1607"/>
        <w:gridCol w:w="1604"/>
        <w:gridCol w:w="2342"/>
        <w:gridCol w:w="2544"/>
      </w:tblGrid>
      <w:tr>
        <w:trPr>
          <w:trHeight w:val="454" w:hRule="atLeast"/>
        </w:trPr>
        <w:tc>
          <w:tcPr>
            <w:tcW w:w="23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160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60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0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0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4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60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607"/>
          </w:tcPr>
          <w:p>
            <w:r>
              <w:t>rs1801133</w:t>
            </w:r>
          </w:p>
        </w:tc>
        <w:tc>
          <w:tcPr>
            <w:tcW w:type="dxa" w:w="1604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42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4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60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607"/>
          </w:tcPr>
          <w:p>
            <w:r>
              <w:t>rs1801131</w:t>
            </w:r>
          </w:p>
        </w:tc>
        <w:tc>
          <w:tcPr>
            <w:tcW w:type="dxa" w:w="160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4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54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  <w:r>
        <w:br w:type="page"/>
      </w:r>
    </w:p>
    <w:p>
      <w:pPr>
        <w:pStyle w:val="Normal"/>
        <w:spacing w:lineRule="exact" w:line="281"/>
        <w:ind w:hanging="0"/>
        <w:rPr>
          <w:b w:val="false"/>
          <w:b w:val="false"/>
          <w:bCs w:val="false"/>
          <w:color w:val="92D050"/>
        </w:rPr>
      </w:pPr>
      <w:r>
        <w:rPr>
          <w:b w:val="false"/>
          <w:bCs w:val="false"/>
          <w:color w:val="92D050"/>
        </w:rPr>
      </w:r>
    </w:p>
    <w:p>
      <w:pPr>
        <w:pStyle w:val="Heading1"/>
        <w:spacing w:before="0" w:after="0"/>
        <w:ind w:left="2147" w:hanging="0"/>
        <w:rPr>
          <w:b w:val="false"/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Le intolleranze alimentari in età pediatrica richiedono una gestione attenta e personalizzata. Un'adeguata diagnosi e un approccio dietetico corretto possono aiutare a minimizzare i sintomi e migliorare la qualità della vita dei bambini affetti. È fondamentale garantire un trattamento efficace e personalizzato considerando la componente genetica.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rPr>
          <w:b w:val="false"/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AD UNA ELEVATA  SENSIBILITA' ALLA CAFFEINA.</w:t>
      </w:r>
    </w:p>
    <w:p>
      <w:pPr>
        <w:pStyle w:val="Heading2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ADH1B*2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DQ8/DQ7.5/DQ2.5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Normal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89"/>
        <w:gridCol w:w="2426"/>
        <w:gridCol w:w="2358"/>
        <w:gridCol w:w="1338"/>
        <w:gridCol w:w="2439"/>
      </w:tblGrid>
      <w:tr>
        <w:trPr>
          <w:trHeight w:val="454" w:hRule="atLeast"/>
        </w:trPr>
        <w:tc>
          <w:tcPr>
            <w:tcW w:w="178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2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8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3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89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5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3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9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b/>
          <w:color w:val="82CBD9"/>
          <w:spacing w:val="-1"/>
          <w:sz w:val="24"/>
          <w:szCs w:val="24"/>
          <w:lang w:val="it-IT"/>
        </w:rPr>
        <w:t>PREDISPOSIZIONE GENETICA ALL’INSORGENZA DI CARIE</w:t>
      </w:r>
    </w:p>
    <w:p>
      <w:pPr>
        <w:pStyle w:val="Normal"/>
        <w:spacing w:before="6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2"/>
          <w:lang w:val="it-IT"/>
        </w:rPr>
        <w:t>La carie dentale è una malattia patologica multifattoriale considerata una delle malattie croniche più diffuse che colpisce sia i bambini che gli adulti. Varianti genetiche (SNPs) sono state associate all'aumentata prevalenza di carie così come alla ridotta prevalenza di carie. Alcune proteine codificate da geni specifici e presenti nella saliva sono state correlate alle risposte immunitarie individuali e possiedono proprietà antimicrobiche, antivirali, antifungine e/o antinfiammatorie.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jc w:val="both"/>
        <w:rPr>
          <w:rFonts w:cs="Arial"/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(ALTA) ALLE CARIE DENTALI.</w:t>
      </w:r>
    </w:p>
    <w:p>
      <w:pPr>
        <w:pStyle w:val="Heading2"/>
        <w:jc w:val="both"/>
        <w:rPr>
          <w:rFonts w:cs="Arial"/>
          <w:b w:val="false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6"/>
        <w:gridCol w:w="2697"/>
        <w:gridCol w:w="3126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AMBN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AMBN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TUFT1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ind w:right="42" w:hanging="0"/>
        <w:jc w:val="center"/>
        <w:rPr>
          <w:rFonts w:ascii="Arial" w:hAnsi="Arial"/>
          <w:b/>
          <w:b/>
          <w:color w:val="3BA1DA"/>
          <w:spacing w:val="1"/>
          <w:sz w:val="24"/>
          <w:lang w:val="it-IT"/>
        </w:rPr>
      </w:pPr>
      <w:r>
        <w:rPr>
          <w:rFonts w:ascii="Arial" w:hAnsi="Arial"/>
          <w:b/>
          <w:color w:val="3BA1DA"/>
          <w:spacing w:val="1"/>
          <w:sz w:val="24"/>
          <w:lang w:val="it-IT"/>
        </w:rPr>
      </w:r>
    </w:p>
    <w:p>
      <w:pPr>
        <w:pStyle w:val="Normal"/>
        <w:spacing w:before="0" w:after="0"/>
        <w:ind w:right="42" w:hanging="0"/>
        <w:jc w:val="center"/>
        <w:rPr>
          <w:rFonts w:ascii="Arial" w:hAnsi="Arial"/>
          <w:b/>
          <w:b/>
          <w:color w:val="3BA1DA"/>
          <w:spacing w:val="1"/>
          <w:sz w:val="24"/>
          <w:lang w:val="it-IT"/>
        </w:rPr>
      </w:pPr>
      <w:r>
        <w:rPr>
          <w:rFonts w:eastAsia="Arial" w:cs="Arial" w:ascii="Arial" w:hAnsi="Arial"/>
          <w:b/>
          <w:color w:val="3BA1DA"/>
          <w:spacing w:val="-1"/>
          <w:sz w:val="24"/>
          <w:szCs w:val="24"/>
          <w:lang w:val="it-IT"/>
        </w:rPr>
        <w:t>PREDISPOSIZIONE GENETICA A DISFUNZIONI METABOLICHE VITAMINE/MINERALI E FRAGILITA’ OSSEA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21"/>
          <w:szCs w:val="21"/>
          <w:lang w:val="it-IT"/>
        </w:rPr>
      </w:pPr>
      <w:r>
        <w:rPr>
          <w:rFonts w:eastAsia="Arial" w:cs="Arial" w:ascii="Arial" w:hAnsi="Arial"/>
          <w:b/>
          <w:bCs/>
          <w:sz w:val="21"/>
          <w:szCs w:val="21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 xml:space="preserve">Le fratture pediatriche e/o giovanili sono comuni e spesso legate a traumi. Tuttavia, in alcuni bambini, queste fratture possono essere influenzate da fattori genetici. </w:t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Inoltre, minerali e vitamine sono essenziali per la salute ossea. Per esempio, la vitamina D è essenziale soprattutto in età pediatrica, poiché facilita l'assorbimento del calcio e del fosforo, minerali cruciali per la formazione e il mantenimento delle ossa.</w:t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È quindi importante conoscere una predisposizione genetica sin dall’infanzia a condizioni quali la fragilità ossea, per un trattamento efficace e personalizzato.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AD ELEVATI LIVELLI DI FERRO.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880"/>
        <w:gridCol w:w="2696"/>
        <w:gridCol w:w="2672"/>
      </w:tblGrid>
      <w:tr>
        <w:trPr>
          <w:trHeight w:val="454" w:hRule="atLeast"/>
        </w:trPr>
        <w:tc>
          <w:tcPr>
            <w:tcW w:w="21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248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88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7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COL1A1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VDR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PROSER2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RIN3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CYP2R1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CSTA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IP6K3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160"/>
            <w:shd w:fill="3BA1DA"/>
          </w:tcPr>
          <w:p>
            <w:r>
              <w:rPr>
                <w:b/>
                <w:color w:val="FFFFFF"/>
              </w:rPr>
              <w:t>CASR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72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TextBody"/>
        <w:spacing w:lineRule="auto" w:line="271" w:before="74" w:after="0"/>
        <w:ind w:left="108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ind w:left="108" w:hanging="0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left="108" w:right="423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ind w:left="108" w:right="423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6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Simona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Chita,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Anca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Tudor,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Ruxandra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Christodorescu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8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</w:rPr>
        <w:t>Brain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Sci.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2020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10(8):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Chun-Jian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Qiu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Xiao-Zheng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Ye,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Xiao-Juan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Yu,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Xiao-Ren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Peng,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Tong-Huan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FABP2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HuGE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Meta-Analysis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Cell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Med.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2014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Dayana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Rodrigues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Farias,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Nadya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Helena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Alves-Santos,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Ilana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Eshriqui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lipid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Eur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Nutr.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2020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Crider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(2011).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folic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Am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Clin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Nutr.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Chibo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Liu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Sihua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Mou,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Chunqin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FTO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analysis.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PLoS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One.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2013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Aug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Warodomwichit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fatty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GOLDN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</w:rPr>
        <w:t>Obesity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17(3):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Hivert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Diabetes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57(12):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RW.</w:t>
      </w:r>
      <w:r>
        <w:rPr>
          <w:rFonts w:ascii="Times New Roman" w:hAnsi="Times New Roman"/>
          <w:color w:val="202020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Willer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Six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new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loci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mass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index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regulation.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41(1):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25-34</w:t>
      </w:r>
      <w:r>
        <w:rPr>
          <w:rFonts w:ascii="Times New Roman" w:hAnsi="Times New Roman"/>
          <w:spacing w:val="50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Benyamin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HFE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40%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Hum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84(1):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60-65</w:t>
      </w:r>
    </w:p>
    <w:p>
      <w:pPr>
        <w:pStyle w:val="Normal"/>
        <w:spacing w:lineRule="auto" w:line="240" w:before="42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2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Keen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(1999).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locus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Arthritis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Rheum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42(2):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285-290</w:t>
      </w:r>
      <w:r>
        <w:br w:type="page"/>
      </w:r>
    </w:p>
    <w:p>
      <w:pPr>
        <w:pStyle w:val="Normal"/>
        <w:spacing w:lineRule="auto" w:line="240" w:before="42" w:after="0"/>
        <w:ind w:left="108" w:right="270" w:hanging="0"/>
        <w:rPr/>
      </w:pPr>
      <w:r>
        <w:rPr/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07/11/2024 12:29:39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B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360"/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 w:hanging="0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LibreOffice/7.3.7.2$Linux_X86_64 LibreOffice_project/30$Build-2</Application>
  <AppVersion>15.0000</AppVersion>
  <Pages>7</Pages>
  <Words>961</Words>
  <Characters>6104</Characters>
  <CharactersWithSpaces>6978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2024-11-04T12:04:09Z</dcterms:modified>
  <cp:revision>46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