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00"/>
        <w:ind w:hanging="0" w:left="125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1270" distB="0" distL="635" distR="635" simplePos="0" locked="0" layoutInCell="1" allowOverlap="1" relativeHeight="2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3ba1da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3ba1da" stroked="t" o:allowincell="f" style="position:absolute;margin-left:2.4pt;margin-top:4.05pt;width:516.55pt;height:9.1pt;mso-wrap-style:none;v-text-anchor:middle">
                <v:fill o:detectmouseclick="t" type="solid" color2="#c45e25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hanging="0" w:left="0" w:right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3BA1DA"/>
          <w:spacing w:val="-1"/>
          <w:sz w:val="36"/>
        </w:rPr>
        <w:t>test_title</w:t>
        <w:br/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1270" distB="0" distL="635" distR="635" simplePos="0" locked="0" layoutInCell="1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3ba1da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3ba1da" stroked="t" o:allowincell="f" style="position:absolute;margin-left:2.4pt;margin-top:4.05pt;width:516.55pt;height:9.1pt;mso-wrap-style:none;v-text-anchor:middle">
                <v:fill o:detectmouseclick="t" type="solid" color2="#c45e25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hanging="0" w:left="108"/>
        <w:rPr>
          <w:rFonts w:ascii="Arial" w:hAnsi="Arial"/>
          <w:b/>
          <w:spacing w:val="-1"/>
          <w:sz w:val="32"/>
          <w:szCs w:val="24"/>
        </w:rPr>
      </w:pPr>
      <w:r>
        <w:rPr>
          <w:rFonts w:ascii="Arial" w:hAnsi="Arial"/>
          <w:b/>
          <w:spacing w:val="-1"/>
          <w:sz w:val="32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7"/>
        <w:gridCol w:w="3613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72" w:after="0"/>
        <w:ind w:hanging="0" w:left="1682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kern w:val="0"/>
                <w:sz w:val="24"/>
                <w:szCs w:val="24"/>
                <w:lang w:val="it-IT" w:eastAsia="en-US" w:bidi="ar-SA"/>
              </w:rPr>
              <w:t>ATTIVIT</w:t>
            </w:r>
            <w:r>
              <w:rPr>
                <w:rFonts w:ascii="Arial" w:hAnsi="Arial"/>
                <w:b/>
                <w:color w:val="82CBD9"/>
                <w:spacing w:val="-1"/>
                <w:kern w:val="0"/>
                <w:sz w:val="24"/>
                <w:szCs w:val="24"/>
                <w:lang w:val="en-US" w:eastAsia="en-US" w:bidi="ar-SA"/>
              </w:rPr>
              <w:t>À SPORTIVE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000000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2"/>
                <w:szCs w:val="22"/>
                <w:lang w:val="it-IT" w:eastAsia="en-US" w:bidi="ar-SA"/>
              </w:rPr>
              <w:t>&lt;testo_sport&gt;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3BA1DA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3BA1DA"/>
                <w:kern w:val="0"/>
                <w:sz w:val="24"/>
                <w:szCs w:val="24"/>
                <w:lang w:val="it-IT" w:eastAsia="en-US" w:bidi="ar-SA"/>
              </w:rPr>
              <w:t>INVECCHIAMENTO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3BA1DA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&lt;testo_ageing&gt;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4893310</wp:posOffset>
            </wp:positionH>
            <wp:positionV relativeFrom="paragraph">
              <wp:posOffset>123190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156210</wp:posOffset>
            </wp:positionH>
            <wp:positionV relativeFrom="paragraph">
              <wp:posOffset>79375</wp:posOffset>
            </wp:positionV>
            <wp:extent cx="1431925" cy="596900"/>
            <wp:effectExtent l="0" t="0" r="0" b="0"/>
            <wp:wrapSquare wrapText="largest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tabs>
          <w:tab w:val="clear" w:pos="720"/>
          <w:tab w:val="left" w:pos="5274" w:leader="none"/>
        </w:tabs>
        <w:spacing w:lineRule="atLeast" w:line="200"/>
        <w:ind w:hanging="0" w:left="108"/>
        <w:rPr/>
      </w:pPr>
      <w:r>
        <w:rPr>
          <w:position w:val="20"/>
        </w:rPr>
        <w:tab/>
      </w:r>
    </w:p>
    <w:p>
      <w:pPr>
        <w:pStyle w:val="Normal"/>
        <w:spacing w:lineRule="auto" w:line="276" w:before="12" w:after="0"/>
        <w:ind w:hanging="0" w:left="108" w:right="116"/>
        <w:rPr>
          <w:b/>
          <w:sz w:val="16"/>
          <w:szCs w:val="16"/>
          <w:u w:val="single" w:color="000000"/>
          <w:lang w:val="it-IT"/>
        </w:rPr>
      </w:pPr>
      <w:r>
        <w:rPr>
          <w:b/>
          <w:sz w:val="16"/>
          <w:szCs w:val="16"/>
          <w:u w:val="single" w:color="000000"/>
          <w:lang w:val="it-IT"/>
        </w:rPr>
      </w:r>
    </w:p>
    <w:p>
      <w:pPr>
        <w:pStyle w:val="Normal"/>
        <w:spacing w:lineRule="auto" w:line="276" w:before="12" w:after="0"/>
        <w:ind w:hanging="0" w:left="108" w:right="116"/>
        <w:rPr>
          <w:sz w:val="16"/>
          <w:szCs w:val="16"/>
        </w:rPr>
      </w:pPr>
      <w:r>
        <w:rPr>
          <w:b/>
          <w:sz w:val="16"/>
          <w:szCs w:val="16"/>
          <w:u w:val="single" w:color="000000"/>
          <w:lang w:val="it-IT"/>
        </w:rPr>
        <w:t>N.B.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La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sintesi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sopra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riportata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non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è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una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(le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cliniche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spettano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esclusivamente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al</w:t>
      </w:r>
      <w:r>
        <w:rPr>
          <w:b/>
          <w:spacing w:val="40"/>
          <w:sz w:val="16"/>
          <w:szCs w:val="16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Heading1"/>
        <w:ind w:hanging="0" w:left="2000"/>
        <w:rPr>
          <w:b w:val="false"/>
          <w:bCs w:val="false"/>
          <w:color w:themeColor="accent6" w:val="F79646"/>
          <w:lang w:val="it-IT"/>
        </w:rPr>
      </w:pPr>
      <w:r>
        <w:rPr>
          <w:color w:themeColor="accent6" w:val="F79646"/>
          <w:spacing w:val="-1"/>
          <w:lang w:val="it-IT"/>
        </w:rPr>
        <w:t>PREDISPOSIZIONE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GENETICA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ALL'AUMENTO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hanging="0" w:left="2130"/>
        <w:rPr>
          <w:b w:val="false"/>
          <w:bCs w:val="false"/>
          <w:color w:themeColor="accent6" w:val="F79646"/>
          <w:lang w:val="it-IT"/>
        </w:rPr>
      </w:pPr>
      <w:r>
        <w:rPr>
          <w:b w:val="false"/>
          <w:bCs w:val="false"/>
          <w:color w:themeColor="accent6" w:val="F79646"/>
          <w:lang w:val="it-IT"/>
        </w:rPr>
      </w:r>
    </w:p>
    <w:p>
      <w:pPr>
        <w:pStyle w:val="Heading1"/>
        <w:spacing w:before="0" w:after="0"/>
        <w:ind w:hanging="0" w:left="2130"/>
        <w:rPr>
          <w:b w:val="false"/>
          <w:bCs w:val="false"/>
          <w:color w:themeColor="accent6" w:val="F79646"/>
          <w:lang w:val="it-IT"/>
        </w:rPr>
      </w:pPr>
      <w:r>
        <w:rPr>
          <w:color w:themeColor="accent6" w:val="F79646"/>
          <w:spacing w:val="-1"/>
          <w:lang w:val="it-IT"/>
        </w:rPr>
        <w:t>PREDISPOSIZIONE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GENETICA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AL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DIABETE</w:t>
      </w:r>
      <w:r>
        <w:rPr>
          <w:color w:themeColor="accent6" w:val="F79646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TIPO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hanging="0" w:right="119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ind w:hanging="0" w:left="125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hanging="0" w:left="1152"/>
        <w:rPr>
          <w:b w:val="false"/>
          <w:bCs w:val="false"/>
          <w:color w:themeColor="accent6" w:val="F79646"/>
        </w:rPr>
      </w:pPr>
      <w:r>
        <w:rPr>
          <w:b w:val="false"/>
          <w:bCs w:val="false"/>
          <w:color w:themeColor="accent6" w:val="F79646"/>
        </w:rPr>
      </w:r>
    </w:p>
    <w:p>
      <w:pPr>
        <w:pStyle w:val="Heading1"/>
        <w:spacing w:before="0" w:after="0"/>
        <w:ind w:hanging="0" w:left="1152"/>
        <w:rPr>
          <w:b w:val="false"/>
          <w:bCs w:val="false"/>
          <w:color w:themeColor="accent6" w:val="F79646"/>
        </w:rPr>
      </w:pPr>
      <w:r>
        <w:rPr>
          <w:color w:themeColor="accent6" w:val="F79646"/>
          <w:spacing w:val="-1"/>
        </w:rPr>
        <w:t>PREDISPOSIZIONE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GENETICA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ALLE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PATOLOGIE</w:t>
      </w:r>
      <w:r>
        <w:rPr>
          <w:color w:themeColor="accent6" w:val="F79646"/>
          <w:spacing w:val="2"/>
        </w:rPr>
        <w:t xml:space="preserve"> </w:t>
      </w:r>
      <w:r>
        <w:rPr>
          <w:color w:themeColor="accent6" w:val="F7964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1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lineRule="atLeast" w:line="200"/>
        <w:ind w:hanging="0" w:left="125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64"/>
        <w:gridCol w:w="3868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4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6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31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18"/>
        <w:gridCol w:w="2322"/>
        <w:gridCol w:w="1622"/>
        <w:gridCol w:w="2355"/>
        <w:gridCol w:w="2614"/>
      </w:tblGrid>
      <w:tr>
        <w:trPr>
          <w:trHeight w:val="454" w:hRule="atLeast"/>
        </w:trPr>
        <w:tc>
          <w:tcPr>
            <w:tcW w:w="1618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91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18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ind w:hanging="0" w:left="2147"/>
        <w:rPr>
          <w:b w:val="false"/>
          <w:bCs w:val="false"/>
          <w:color w:val="92D050"/>
        </w:rPr>
      </w:pPr>
      <w:r>
        <w:rPr>
          <w:b w:val="false"/>
          <w:bCs w:val="false"/>
          <w:color w:val="92D050"/>
        </w:rPr>
      </w:r>
    </w:p>
    <w:p>
      <w:pPr>
        <w:pStyle w:val="Heading1"/>
        <w:spacing w:before="0" w:after="0"/>
        <w:ind w:hanging="0" w:left="2147"/>
        <w:rPr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rPr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testo_intolleranze_lungo</w:t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4"/>
        <w:gridCol w:w="2427"/>
        <w:gridCol w:w="2352"/>
        <w:gridCol w:w="1344"/>
        <w:gridCol w:w="2433"/>
      </w:tblGrid>
      <w:tr>
        <w:trPr>
          <w:trHeight w:val="454" w:hRule="atLeast"/>
        </w:trPr>
        <w:tc>
          <w:tcPr>
            <w:tcW w:w="179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</w:p>
    <w:p>
      <w:pPr>
        <w:pStyle w:val="Normal"/>
        <w:spacing w:lineRule="auto" w:line="276" w:before="69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testo_assorbimento_lungo</w:t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4"/>
        <w:gridCol w:w="2180"/>
        <w:gridCol w:w="1348"/>
        <w:gridCol w:w="3108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2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8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4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tbl>
      <w:tblPr>
        <w:tblStyle w:val="Grigliatabella"/>
        <w:tblW w:w="10433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19"/>
        <w:gridCol w:w="1621"/>
        <w:gridCol w:w="2354"/>
        <w:gridCol w:w="2518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19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1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1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hanging="0" w:left="2618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SCOPRI L'ALLENAMENTO PIÙ ADATTO </w:t>
      </w:r>
      <w:r>
        <w:rPr>
          <w:rFonts w:ascii="Arial" w:hAnsi="Arial"/>
          <w:b/>
          <w:color w:val="82CBD9"/>
          <w:sz w:val="24"/>
          <w:lang w:val="it-IT"/>
        </w:rPr>
        <w:t>A</w:t>
      </w: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 TE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In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capitolo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sveleremo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puoi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bravo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struttura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muscolare.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Imparerai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fino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punto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sei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incline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lesioni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tessuti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molli.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L'attività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fisica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influisce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generalmente</w:t>
      </w:r>
      <w:r>
        <w:rPr>
          <w:spacing w:val="20"/>
          <w:w w:val="99"/>
          <w:lang w:val="it-IT"/>
        </w:rPr>
        <w:t xml:space="preserve"> </w:t>
      </w:r>
      <w:r>
        <w:rPr>
          <w:spacing w:val="-1"/>
          <w:lang w:val="it-IT"/>
        </w:rPr>
        <w:t>positivamente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2"/>
          <w:lang w:val="it-IT"/>
        </w:rPr>
        <w:t>salute,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ma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alcune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vantaggiose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alcuni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altri.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8"/>
          <w:w w:val="99"/>
          <w:lang w:val="it-IT"/>
        </w:rPr>
        <w:t xml:space="preserve"> </w:t>
      </w:r>
      <w:r>
        <w:rPr>
          <w:spacing w:val="-1"/>
          <w:lang w:val="it-IT"/>
        </w:rPr>
        <w:t>esempio, la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genetica ha una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grande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influenza su alcune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componenti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dell'atletica come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3"/>
          <w:lang w:val="it-IT"/>
        </w:rPr>
        <w:t xml:space="preserve"> </w:t>
      </w:r>
      <w:r>
        <w:rPr>
          <w:b/>
          <w:spacing w:val="-1"/>
          <w:lang w:val="it-IT"/>
        </w:rPr>
        <w:t>potenza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4"/>
          <w:lang w:val="it-IT"/>
        </w:rPr>
        <w:t xml:space="preserve"> </w:t>
      </w:r>
      <w:r>
        <w:rPr>
          <w:b/>
          <w:spacing w:val="-1"/>
          <w:lang w:val="it-IT"/>
        </w:rPr>
        <w:t>resistenza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4"/>
          <w:w w:val="99"/>
          <w:lang w:val="it-IT"/>
        </w:rPr>
        <w:t xml:space="preserve"> </w:t>
      </w:r>
      <w:r>
        <w:rPr>
          <w:spacing w:val="-2"/>
          <w:lang w:val="it-IT"/>
        </w:rPr>
        <w:t>dimensione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composizione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fibre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muscolari,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flessibilità,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coordinazione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neuromuscolare,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fenotipi.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rFonts w:cs="Arial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testo_sport_lungo</w:t>
      </w:r>
    </w:p>
    <w:p>
      <w:pPr>
        <w:pStyle w:val="Heading2"/>
        <w:jc w:val="both"/>
        <w:rPr>
          <w:rFonts w:cs="Arial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629"/>
        <w:gridCol w:w="2425"/>
        <w:gridCol w:w="1495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49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pageBreakBefore w:val="false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ind w:hanging="0" w:right="42"/>
        <w:jc w:val="center"/>
        <w:rPr>
          <w:rFonts w:ascii="Arial" w:hAnsi="Arial"/>
          <w:b/>
          <w:color w:val="3BA1DA"/>
          <w:spacing w:val="1"/>
          <w:sz w:val="24"/>
          <w:lang w:val="it-IT"/>
        </w:rPr>
      </w:pPr>
      <w:r>
        <w:rPr>
          <w:rFonts w:ascii="Arial" w:hAnsi="Arial"/>
          <w:b/>
          <w:color w:val="3BA1DA"/>
          <w:spacing w:val="1"/>
          <w:sz w:val="24"/>
          <w:lang w:val="it-IT"/>
        </w:rPr>
      </w:r>
    </w:p>
    <w:p>
      <w:pPr>
        <w:pStyle w:val="Normal"/>
        <w:spacing w:before="0" w:after="0"/>
        <w:ind w:hanging="0" w:right="42"/>
        <w:jc w:val="center"/>
        <w:rPr>
          <w:rFonts w:ascii="Arial" w:hAnsi="Arial"/>
          <w:b/>
          <w:color w:val="3BA1DA"/>
          <w:spacing w:val="1"/>
          <w:sz w:val="24"/>
          <w:lang w:val="it-IT"/>
        </w:rPr>
      </w:pPr>
      <w:r>
        <w:rPr>
          <w:rFonts w:ascii="Arial" w:hAnsi="Arial"/>
          <w:b/>
          <w:color w:val="3BA1DA"/>
          <w:spacing w:val="-1"/>
          <w:sz w:val="24"/>
          <w:lang w:val="it-IT"/>
        </w:rPr>
        <w:t>L'INFLUENZA GENETICA NEI PROCESSI</w:t>
      </w:r>
      <w:r>
        <w:rPr>
          <w:rFonts w:ascii="Arial" w:hAnsi="Arial"/>
          <w:b/>
          <w:color w:val="3BA1DA"/>
          <w:spacing w:val="1"/>
          <w:sz w:val="24"/>
          <w:lang w:val="it-IT"/>
        </w:rPr>
        <w:t xml:space="preserve"> </w:t>
      </w:r>
    </w:p>
    <w:p>
      <w:pPr>
        <w:pStyle w:val="Normal"/>
        <w:spacing w:before="69" w:after="0"/>
        <w:ind w:hanging="0" w:right="42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3BA1DA"/>
          <w:spacing w:val="-1"/>
          <w:sz w:val="24"/>
          <w:lang w:val="it-IT"/>
        </w:rPr>
        <w:t>CORRELATI</w:t>
      </w:r>
      <w:r>
        <w:rPr>
          <w:rFonts w:ascii="Arial" w:hAnsi="Arial"/>
          <w:b/>
          <w:color w:val="3BA1DA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3BA1DA"/>
          <w:spacing w:val="-1"/>
          <w:sz w:val="24"/>
          <w:lang w:val="it-IT"/>
        </w:rPr>
        <w:t>ALL'INVECCHIAMENTO</w:t>
      </w:r>
    </w:p>
    <w:p>
      <w:pPr>
        <w:pStyle w:val="Normal"/>
        <w:spacing w:before="2" w:after="0"/>
        <w:rPr>
          <w:rFonts w:ascii="Arial" w:hAnsi="Arial" w:eastAsia="Arial" w:cs="Arial"/>
          <w:b/>
          <w:bCs/>
          <w:sz w:val="21"/>
          <w:szCs w:val="21"/>
          <w:lang w:val="it-IT"/>
        </w:rPr>
      </w:pPr>
      <w:r>
        <w:rPr>
          <w:rFonts w:eastAsia="Arial" w:cs="Arial" w:ascii="Arial" w:hAnsi="Arial"/>
          <w:b/>
          <w:bCs/>
          <w:sz w:val="21"/>
          <w:szCs w:val="21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individuale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processo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d'invecchiamento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influenzato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dalla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presenza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sfavorevoli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0"/>
          <w:w w:val="99"/>
          <w:lang w:val="it-IT"/>
        </w:rPr>
        <w:t xml:space="preserve"> </w:t>
      </w:r>
      <w:r>
        <w:rPr>
          <w:spacing w:val="-1"/>
          <w:lang w:val="it-IT"/>
        </w:rPr>
        <w:t>determinano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quindi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alto</w:t>
      </w:r>
      <w:r>
        <w:rPr>
          <w:spacing w:val="4"/>
          <w:lang w:val="it-IT"/>
        </w:rPr>
        <w:t xml:space="preserve"> </w:t>
      </w:r>
      <w:r>
        <w:rPr>
          <w:lang w:val="it-IT"/>
        </w:rPr>
        <w:t>tasso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invecchiamento.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-9"/>
          <w:lang w:val="it-IT"/>
        </w:rPr>
        <w:t xml:space="preserve"> </w:t>
      </w:r>
      <w:r>
        <w:rPr>
          <w:spacing w:val="-2"/>
          <w:lang w:val="it-IT"/>
        </w:rPr>
        <w:t>maggiore/minore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tendenza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all'invecchiamento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sistema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biologico.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testo_ageing_lungo</w:t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629"/>
        <w:gridCol w:w="2425"/>
        <w:gridCol w:w="1495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49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59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rFonts w:eastAsia="Calibri" w:cs="Calibri"/>
          <w:sz w:val="28"/>
          <w:szCs w:val="28"/>
          <w:lang w:val="it-IT"/>
        </w:rPr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spacing w:val="-1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b/>
          <w:bCs/>
          <w:spacing w:val="-1"/>
          <w:lang w:val="it-IT"/>
        </w:rPr>
        <w:t>non costituisce una diagnosi clinica e non sostituisce il parere del medico</w:t>
      </w:r>
      <w:r>
        <w:rPr>
          <w:spacing w:val="-1"/>
          <w:lang w:val="it-IT"/>
        </w:rPr>
        <w:t xml:space="preserve">. I risultati devono essere valutati ed approvati alla luce della storia anamnestica personale su </w:t>
      </w:r>
      <w:r>
        <w:rPr>
          <w:b/>
          <w:bCs/>
          <w:spacing w:val="-1"/>
          <w:lang w:val="it-IT"/>
        </w:rPr>
        <w:t>verifica del medico curante</w:t>
      </w:r>
      <w:r>
        <w:rPr>
          <w:spacing w:val="-1"/>
          <w:lang w:val="it-IT"/>
        </w:rPr>
        <w:t>.</w:t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/>
      </w:r>
    </w:p>
    <w:p>
      <w:pPr>
        <w:pStyle w:val="BodyText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ind w:hanging="0" w:left="108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76" w:before="1" w:after="0"/>
        <w:rPr>
          <w:rFonts w:ascii="Times New Roman" w:hAnsi="Times New Roman" w:eastAsia="Times New Roman" w:cs="Times New Roman"/>
          <w:b/>
          <w:bCs/>
          <w:i/>
          <w:i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20"/>
          <w:szCs w:val="20"/>
          <w:lang w:val="it-IT"/>
        </w:rPr>
      </w:r>
    </w:p>
    <w:p>
      <w:pPr>
        <w:pStyle w:val="Normal"/>
        <w:spacing w:lineRule="auto" w:line="240"/>
        <w:ind w:hanging="0" w:left="108" w:right="423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/>
        <w:ind w:hanging="0" w:left="108" w:right="423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6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Simona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Chita,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Anca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Tudor,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Ruxandra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Christodorescu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al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Prevalence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Factors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Involved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8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Cardioembolic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Stroke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Severity. </w:t>
      </w:r>
      <w:r>
        <w:rPr>
          <w:rFonts w:ascii="Times New Roman" w:hAnsi="Times New Roman"/>
          <w:spacing w:val="-1"/>
          <w:sz w:val="16"/>
          <w:szCs w:val="16"/>
        </w:rPr>
        <w:t>Brain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Sci.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2020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10(8):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Chun-Jian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Qiu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Xiao-Zheng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Ye,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Xiao-Juan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Yu,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Xiao-Ren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Peng,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Tong-Huan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between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FABP2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Ala54Thr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</w:t>
      </w:r>
      <w:r>
        <w:rPr>
          <w:rFonts w:ascii="Times New Roman" w:hAnsi="Times New Roman"/>
          <w:i/>
          <w:spacing w:val="4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mellitus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HuGE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Review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Meta-Analysis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Cell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Med.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2014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Dec;18(12):2530-5.</w:t>
      </w:r>
    </w:p>
    <w:p>
      <w:pPr>
        <w:pStyle w:val="Normal"/>
        <w:spacing w:lineRule="auto" w:line="240" w:before="7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Dayana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Rodrigues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Farias,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Nadya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Helena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Alves-Santos,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Ilana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Eshriqui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Leptin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(rs7799039;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G2548A)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changes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lipid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during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pregnancy: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prospective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cohort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Eur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Nutr.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2020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Crider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(2011).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677C-&gt;T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genotype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folate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homocysteine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large,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population-based,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double-blind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trial</w:t>
      </w:r>
      <w:r>
        <w:rPr>
          <w:rFonts w:ascii="Times New Roman" w:hAnsi="Times New Roman"/>
          <w:i/>
          <w:spacing w:val="3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folic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supplementation.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Am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Clin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Nutr.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Chibo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Liu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Sihua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Mou,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Chunqin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FTO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rs9939609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predicts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disease: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systematic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review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meta-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analysis.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PLoS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One.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2013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Aug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19;8(8):e71901.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Warodomwichit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ADIPOQ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polymorphisms,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monounsaturated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fatty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acids,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obesity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GOLDN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study. </w:t>
      </w:r>
      <w:r>
        <w:rPr>
          <w:rFonts w:ascii="Times New Roman" w:hAnsi="Times New Roman"/>
          <w:spacing w:val="-1"/>
          <w:sz w:val="16"/>
          <w:szCs w:val="16"/>
        </w:rPr>
        <w:t>Obesity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17(3):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510-517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Hivert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  <w:szCs w:val="16"/>
        </w:rPr>
        <w:t>Common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(ADIPOQ)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plasma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diabetes-related</w:t>
      </w:r>
      <w:r>
        <w:rPr>
          <w:rFonts w:ascii="Times New Roman" w:hAnsi="Times New Roman"/>
          <w:i/>
          <w:spacing w:val="7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quantitative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traits: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Framingham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Offspring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Diabetes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57(12):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Mahley</w:t>
      </w:r>
      <w:r>
        <w:rPr>
          <w:rFonts w:ascii="Times New Roman" w:hAnsi="Times New Roman"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RW.</w:t>
      </w:r>
      <w:r>
        <w:rPr>
          <w:rFonts w:ascii="Times New Roman" w:hAnsi="Times New Roman"/>
          <w:color w:val="202020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J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Mol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Med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(Berl).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2016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Jul;94(7):739-46.</w:t>
      </w:r>
    </w:p>
    <w:p>
      <w:pPr>
        <w:pStyle w:val="Normal"/>
        <w:spacing w:lineRule="auto" w:line="240" w:before="10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Iwai</w:t>
      </w:r>
      <w:r>
        <w:rPr>
          <w:rFonts w:ascii="Times New Roman" w:hAnsi="Times New Roman"/>
          <w:color w:val="202020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C,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Akita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K,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Shiga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N,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Matsuda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Takai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E,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Shimizu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Kajiya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Hayashi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M.</w:t>
      </w:r>
      <w:r>
        <w:rPr>
          <w:rFonts w:ascii="Times New Roman" w:hAnsi="Times New Roman"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Am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Heart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J.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2003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  <w:szCs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Willer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Six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new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loci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mass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index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highlight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neuronal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influence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weight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regulation.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41(1):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25-34</w:t>
      </w:r>
      <w:r>
        <w:rPr>
          <w:rFonts w:ascii="Times New Roman" w:hAnsi="Times New Roman"/>
          <w:spacing w:val="50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Benyamin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HFE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explain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approximately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40%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genetic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variation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serum-transferrin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levels.</w:t>
      </w:r>
      <w:r>
        <w:rPr>
          <w:rFonts w:ascii="Times New Roman" w:hAnsi="Times New Roman"/>
          <w:i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Hum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84(1):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60-65</w:t>
      </w:r>
    </w:p>
    <w:p>
      <w:pPr>
        <w:pStyle w:val="Normal"/>
        <w:spacing w:lineRule="auto" w:line="240" w:before="42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2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Keen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(1999).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(COL1A1)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locus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reduced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mineral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density,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fracture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turnover.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Arthritis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Rheum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42(2):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285-290</w:t>
      </w:r>
    </w:p>
    <w:p>
      <w:pPr>
        <w:pStyle w:val="Normal"/>
        <w:spacing w:before="7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09"/>
        <w:gridCol w:w="1848"/>
        <w:gridCol w:w="2318"/>
        <w:gridCol w:w="2512"/>
      </w:tblGrid>
      <w:tr>
        <w:trPr>
          <w:trHeight w:val="1349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hanging="0" w:left="32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09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8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left="33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</w:tr>
    </w:tbl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07" w:bottom="40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7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hanging="0" w:left="108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LibreOffice/24.2.5.2$Linux_X86_64 LibreOffice_project/420$Build-2</Application>
  <AppVersion>15.0000</AppVersion>
  <Pages>9</Pages>
  <Words>1398</Words>
  <Characters>8692</Characters>
  <CharactersWithSpaces>9946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2024-11-12T12:41:28Z</dcterms:modified>
  <cp:revision>28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