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eastAsia="Times New Roman" w:cs="Times New Roman" w:ascii="Times New Roman" w:hAnsi="Times New Roman"/>
          <w:sz w:val="21"/>
          <w:szCs w:val="21"/>
        </w:rPr>
        <mc:AlternateContent>
          <mc:Choice Requires="wps">
            <w:drawing>
              <wp:anchor behindDoc="0" distT="1270" distB="0" distL="635" distR="635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010" cy="11239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49d16" stroked="t" o:allowincell="f" style="position:absolute;margin-left:2.4pt;margin-top:4.0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5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before="27" w:after="0"/>
        <w:ind w:hanging="0" w:right="12"/>
        <w:jc w:val="center"/>
        <w:rPr>
          <w:rFonts w:ascii="Calibri" w:hAnsi="Calibri" w:eastAsia="Calibri" w:cs="Calibri"/>
          <w:sz w:val="36"/>
          <w:szCs w:val="36"/>
        </w:rPr>
      </w:pPr>
      <w:r>
        <mc:AlternateContent>
          <mc:Choice Requires="wps">
            <w:drawing>
              <wp:anchor behindDoc="0" distT="1270" distB="0" distL="635" distR="635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531495</wp:posOffset>
                </wp:positionV>
                <wp:extent cx="6557010" cy="11239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040" cy="112320"/>
                        </a:xfrm>
                        <a:prstGeom prst="rect">
                          <a:avLst/>
                        </a:prstGeom>
                        <a:solidFill>
                          <a:srgbClr val="f49d1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49d16" stroked="t" o:allowincell="f" style="position:absolute;margin-left:2.4pt;margin-top:41.85pt;width:516.25pt;height:8.8pt;mso-wrap-style:none;v-text-anchor:middle">
                <v:fill o:detectmouseclick="t" type="solid" color2="#0b62e9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eastAsia="Calibri" w:cs="Calibri"/>
          <w:b/>
          <w:color w:val="F49D16"/>
          <w:spacing w:val="-1"/>
          <w:sz w:val="36"/>
          <w:szCs w:val="36"/>
        </w:rPr>
        <w:t>test_title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5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before="10" w:after="0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332"/>
        <w:gridCol w:w="3518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33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bCs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 &lt;bmi&gt;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before="72" w:after="0"/>
        <w:ind w:hanging="0" w:left="1714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indagate.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u w:val="single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79755"/>
            <wp:effectExtent l="0" t="0" r="0" b="0"/>
            <wp:docPr id="3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2540</wp:posOffset>
            </wp:positionV>
            <wp:extent cx="1583690" cy="557530"/>
            <wp:effectExtent l="0" t="0" r="0" b="0"/>
            <wp:wrapSquare wrapText="largest"/>
            <wp:docPr id="4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/>
      </w:pPr>
      <w:r>
        <w:rPr>
          <w:position w:val="22"/>
        </w:rPr>
        <w:tab/>
      </w:r>
    </w:p>
    <w:p>
      <w:pPr>
        <w:pStyle w:val="Normal"/>
        <w:spacing w:before="1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59" w:before="72" w:after="0"/>
        <w:ind w:hanging="0" w:left="158" w:right="259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N.B.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La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5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è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(le </w:t>
      </w:r>
      <w:r>
        <w:rPr>
          <w:rFonts w:ascii="Arial" w:hAnsi="Arial"/>
          <w:b/>
          <w:spacing w:val="13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4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ascii="Arial" w:hAnsi="Arial"/>
          <w:b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11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ascii="Arial" w:hAnsi="Arial"/>
          <w:b/>
          <w:spacing w:val="34"/>
          <w:sz w:val="20"/>
          <w:szCs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esclusivamente al</w:t>
      </w:r>
      <w:r>
        <w:rPr>
          <w:rFonts w:ascii="Arial" w:hAnsi="Arial"/>
          <w:b/>
          <w:spacing w:val="2"/>
          <w:sz w:val="20"/>
          <w:szCs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szCs w:val="20"/>
          <w:u w:val="single" w:color="000000"/>
          <w:lang w:val="it-IT"/>
        </w:rPr>
        <w:t>medico).</w:t>
      </w:r>
      <w:r>
        <w:rPr>
          <w:rFonts w:eastAsia="Arial" w:cs="Arial" w:ascii="Arial" w:hAnsi="Arial"/>
          <w:b/>
          <w:spacing w:val="-1"/>
          <w:sz w:val="20"/>
          <w:szCs w:val="20"/>
          <w:u w:val="single" w:color="000000"/>
          <w:lang w:val="it-IT"/>
        </w:rPr>
        <w:t xml:space="preserve"> </w:t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ind w:hanging="0" w:left="108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43"/>
        <w:gridCol w:w="9096"/>
      </w:tblGrid>
      <w:tr>
        <w:trPr>
          <w:trHeight w:val="418" w:hRule="atLeast"/>
        </w:trPr>
        <w:tc>
          <w:tcPr>
            <w:tcW w:w="134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9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lang w:val="it-IT"/>
        </w:rPr>
        <w:t xml:space="preserve">PREDISPOSIZIONE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lang w:val="it-IT"/>
        </w:rPr>
        <w:t xml:space="preserve"> AL DIABETE DI TIPO 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 diabete di tipo 2 si manifesta quando il corpo non produce una quantità sufficiente di insulina per</w:t>
        <w:t xml:space="preserve"> funzionare adeguatamente, o quando le cellule sviluppano una resistenza all’insulina, ossia non</w:t>
      </w:r>
    </w:p>
    <w:p>
      <w:pPr>
        <w:pStyle w:val="BodyText"/>
        <w:spacing w:lineRule="auto" w:line="271"/>
        <w:ind w:hanging="0" w:left="108" w:right="117"/>
        <w:jc w:val="both"/>
        <w:rPr>
          <w:lang w:val="it-IT"/>
        </w:rPr>
      </w:pPr>
      <w:r>
        <w:rPr>
          <w:spacing w:val="-1"/>
          <w:lang w:val="it-IT"/>
        </w:rPr>
        <w:t>rispondono efficacemente alla sua presenza.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hanging="0"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1"/>
        <w:gridCol w:w="1975"/>
        <w:gridCol w:w="2099"/>
        <w:gridCol w:w="4034"/>
      </w:tblGrid>
      <w:tr>
        <w:trPr>
          <w:trHeight w:val="454" w:hRule="atLeast"/>
        </w:trPr>
        <w:tc>
          <w:tcPr>
            <w:tcW w:w="233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4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3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PATOLOGIE</w:t>
      </w:r>
      <w:r>
        <w:rPr>
          <w:color w:val="F49D16"/>
          <w:spacing w:val="2"/>
          <w:lang w:val="it-IT"/>
        </w:rPr>
        <w:t xml:space="preserve"> </w:t>
      </w:r>
      <w:r>
        <w:rPr>
          <w:color w:val="F49D16"/>
          <w:spacing w:val="-1"/>
          <w:lang w:val="it-IT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108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37"/>
        <w:gridCol w:w="9002"/>
      </w:tblGrid>
      <w:tr>
        <w:trPr>
          <w:trHeight w:val="336" w:hRule="atLeast"/>
        </w:trPr>
        <w:tc>
          <w:tcPr>
            <w:tcW w:w="143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900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440" w:type="dxa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4"/>
        <w:gridCol w:w="2592"/>
        <w:gridCol w:w="2099"/>
        <w:gridCol w:w="4034"/>
      </w:tblGrid>
      <w:tr>
        <w:trPr>
          <w:trHeight w:val="454" w:hRule="atLeast"/>
        </w:trPr>
        <w:tc>
          <w:tcPr>
            <w:tcW w:w="171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691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403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171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59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403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23" w:type="dxa"/>
        <w:jc w:val="left"/>
        <w:tblInd w:w="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4"/>
        <w:gridCol w:w="2332"/>
        <w:gridCol w:w="1611"/>
        <w:gridCol w:w="2350"/>
        <w:gridCol w:w="2606"/>
      </w:tblGrid>
      <w:tr>
        <w:trPr>
          <w:trHeight w:val="454" w:hRule="atLeast"/>
        </w:trPr>
        <w:tc>
          <w:tcPr>
            <w:tcW w:w="152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3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6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52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3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1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0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b/>
          <w:bCs/>
          <w:spacing w:val="-1"/>
          <w:lang w:val="it-IT"/>
        </w:rPr>
        <w:t>non costituisce una diagnosi clinica e non sostituisce il parere del medico</w:t>
      </w:r>
      <w:r>
        <w:rPr>
          <w:spacing w:val="-1"/>
          <w:lang w:val="it-IT"/>
        </w:rPr>
        <w:t xml:space="preserve">. I risultati devono essere valutati ed approvati alla luce della storia anamnestica personale su </w:t>
      </w:r>
      <w:r>
        <w:rPr>
          <w:b/>
          <w:bCs/>
          <w:spacing w:val="-1"/>
          <w:lang w:val="it-IT"/>
        </w:rPr>
        <w:t>verifica del medico 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ind w:hanging="0" w:left="108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b/>
          <w:spacing w:val="-1"/>
          <w:sz w:val="20"/>
          <w:u w:val="single" w:color="000000"/>
          <w:lang w:val="it-IT"/>
        </w:rPr>
        <w:t>Il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test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effettuato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prende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considerazione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intolleranze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ma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non</w:t>
      </w:r>
      <w:r>
        <w:rPr>
          <w:rFonts w:ascii="Arial" w:hAnsi="Arial"/>
          <w:b/>
          <w:spacing w:val="-6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le</w:t>
      </w:r>
      <w:r>
        <w:rPr>
          <w:rFonts w:ascii="Arial" w:hAnsi="Arial"/>
          <w:b/>
          <w:spacing w:val="-7"/>
          <w:sz w:val="20"/>
          <w:u w:val="single" w:color="00000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u w:val="single" w:color="000000"/>
          <w:lang w:val="it-IT"/>
        </w:rPr>
        <w:t>allergie.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before="11" w:after="0"/>
        <w:rPr>
          <w:rFonts w:ascii="Times New Roman" w:hAnsi="Times New Roman" w:eastAsia="Times New Roman" w:cs="Times New Roman"/>
          <w:b/>
          <w:bCs/>
          <w:i/>
          <w:i/>
          <w:sz w:val="19"/>
          <w:szCs w:val="19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19"/>
          <w:szCs w:val="19"/>
          <w:lang w:val="it-IT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eastAsia="Arial" w:cs="Arial" w:ascii="Arial" w:hAnsi="Arial"/>
          <w:spacing w:val="-1"/>
          <w:sz w:val="16"/>
          <w:szCs w:val="16"/>
        </w:rPr>
        <w:t>Liù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CC,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 xml:space="preserve">Liu </w:t>
      </w:r>
      <w:r>
        <w:rPr>
          <w:rFonts w:eastAsia="Arial" w:cs="Arial" w:ascii="Arial" w:hAnsi="Arial"/>
          <w:sz w:val="16"/>
          <w:szCs w:val="16"/>
        </w:rPr>
        <w:t>CC,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Kanekiyo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T,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Xu</w:t>
      </w:r>
      <w:r>
        <w:rPr>
          <w:rFonts w:eastAsia="Arial" w:cs="Arial" w:ascii="Arial" w:hAnsi="Arial"/>
          <w:sz w:val="16"/>
          <w:szCs w:val="16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</w:rPr>
        <w:t xml:space="preserve"> Bu</w:t>
      </w:r>
      <w:r>
        <w:rPr>
          <w:rFonts w:eastAsia="Arial" w:cs="Arial" w:ascii="Arial" w:hAnsi="Arial"/>
          <w:sz w:val="16"/>
          <w:szCs w:val="16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</w:rPr>
        <w:t>(February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2013).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.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10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Dana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Simona Chita,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Anca Tudor, Ruxandra Christodorescu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</w:t>
      </w:r>
      <w:r>
        <w:rPr>
          <w:rFonts w:ascii="Arial" w:hAnsi="Arial"/>
          <w:sz w:val="16"/>
        </w:rPr>
        <w:t xml:space="preserve"> MTHFR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Prevalence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Factors</w:t>
      </w:r>
      <w:r>
        <w:rPr>
          <w:rFonts w:ascii="Arial" w:hAnsi="Arial"/>
          <w:i/>
          <w:spacing w:val="74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Involved</w:t>
      </w:r>
      <w:r>
        <w:rPr>
          <w:rFonts w:ascii="Arial" w:hAnsi="Arial"/>
          <w:i/>
          <w:sz w:val="16"/>
        </w:rPr>
        <w:t xml:space="preserve"> in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Cardioembolic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Stroke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Severity.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Brain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Sci. 2020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 10(8): 476.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259"/>
        <w:rPr/>
      </w:pPr>
      <w:r>
        <w:rPr>
          <w:rFonts w:ascii="Arial" w:hAnsi="Arial"/>
          <w:spacing w:val="-1"/>
          <w:sz w:val="16"/>
        </w:rPr>
        <w:t xml:space="preserve">Chun-Jian Qiu 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1"/>
          <w:sz w:val="16"/>
        </w:rPr>
        <w:t xml:space="preserve"> Xiao-Zheng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Ye, Xiao-Juan Yu, Xiao-Ren Peng, Tong-Huan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Li.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Association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between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FABP2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Ala54Thr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pacing w:val="97"/>
          <w:sz w:val="16"/>
        </w:rPr>
        <w:t xml:space="preserve"> </w:t>
      </w:r>
      <w:r>
        <w:rPr>
          <w:rFonts w:ascii="Arial" w:hAnsi="Arial"/>
          <w:i/>
          <w:sz w:val="16"/>
        </w:rPr>
        <w:t>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mellitus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z w:val="16"/>
        </w:rPr>
        <w:t xml:space="preserve"> a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HuGE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Meta-Analysis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Cell Mol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Med. 2014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Dayana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Rodrigues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Farias,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Nadya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Helena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Alves-Santos</w:t>
      </w:r>
      <w:r>
        <w:rPr>
          <w:rFonts w:ascii="Arial" w:hAnsi="Arial"/>
          <w:sz w:val="16"/>
        </w:rPr>
        <w:t xml:space="preserve"> ,</w:t>
      </w:r>
      <w:r>
        <w:rPr>
          <w:rFonts w:ascii="Arial" w:hAnsi="Arial"/>
          <w:spacing w:val="-1"/>
          <w:sz w:val="16"/>
        </w:rPr>
        <w:t xml:space="preserve"> Ilana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Eshriqui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al.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Leptin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 (rs7799039; G2548A)</w:t>
      </w:r>
      <w:r>
        <w:rPr>
          <w:rFonts w:ascii="Arial" w:hAnsi="Arial"/>
          <w:i/>
          <w:sz w:val="16"/>
        </w:rPr>
        <w:t xml:space="preserve"> is</w:t>
      </w:r>
      <w:r>
        <w:rPr>
          <w:rFonts w:ascii="Arial" w:hAnsi="Arial"/>
          <w:i/>
          <w:spacing w:val="-1"/>
          <w:sz w:val="16"/>
        </w:rPr>
        <w:t xml:space="preserve"> associated</w:t>
      </w:r>
      <w:r>
        <w:rPr>
          <w:rFonts w:ascii="Arial" w:hAnsi="Arial"/>
          <w:i/>
          <w:spacing w:val="11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changes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serum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lipid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concentrations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during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pregnancy: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prospective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cohort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Eur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Nutr. 2020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259"/>
        <w:rPr/>
      </w:pPr>
      <w:r>
        <w:rPr>
          <w:rFonts w:ascii="Arial" w:hAnsi="Arial"/>
          <w:spacing w:val="-1"/>
          <w:sz w:val="16"/>
        </w:rPr>
        <w:t>Crider et al. (2011).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MTHFR 677C-&gt;T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genotype is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 xml:space="preserve">folate and homocysteine concentrations in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1"/>
          <w:sz w:val="16"/>
        </w:rPr>
        <w:t xml:space="preserve"> large,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population-based, double-</w:t>
      </w:r>
      <w:r>
        <w:rPr>
          <w:rFonts w:ascii="Arial" w:hAnsi="Arial"/>
          <w:i/>
          <w:spacing w:val="50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blind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trial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folic acid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supplementation.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Am </w:t>
      </w:r>
      <w:r>
        <w:rPr>
          <w:rFonts w:ascii="Arial" w:hAnsi="Arial"/>
          <w:sz w:val="16"/>
        </w:rPr>
        <w:t>J</w:t>
      </w:r>
      <w:r>
        <w:rPr>
          <w:rFonts w:ascii="Arial" w:hAnsi="Arial"/>
          <w:spacing w:val="-1"/>
          <w:sz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3"/>
          <w:szCs w:val="13"/>
        </w:rPr>
      </w:pPr>
      <w:r>
        <w:rPr>
          <w:rFonts w:eastAsia="Arial" w:cs="Arial" w:ascii="Arial" w:hAnsi="Arial"/>
          <w:sz w:val="13"/>
          <w:szCs w:val="13"/>
        </w:rPr>
      </w:r>
    </w:p>
    <w:p>
      <w:pPr>
        <w:pStyle w:val="Normal"/>
        <w:spacing w:lineRule="auto" w:line="240"/>
        <w:ind w:hanging="0" w:left="108" w:right="168"/>
        <w:rPr/>
      </w:pPr>
      <w:r>
        <w:rPr>
          <w:rFonts w:ascii="Arial" w:hAnsi="Arial"/>
          <w:spacing w:val="-1"/>
          <w:sz w:val="16"/>
        </w:rPr>
        <w:t>Chibo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Liu </w:t>
      </w:r>
      <w:r>
        <w:rPr>
          <w:rFonts w:ascii="Arial" w:hAnsi="Arial"/>
          <w:sz w:val="16"/>
        </w:rPr>
        <w:t xml:space="preserve">, </w:t>
      </w:r>
      <w:r>
        <w:rPr>
          <w:rFonts w:ascii="Arial" w:hAnsi="Arial"/>
          <w:spacing w:val="-1"/>
          <w:sz w:val="16"/>
        </w:rPr>
        <w:t>Sihua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Mou,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Chunqin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 xml:space="preserve">Pan.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FTO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rs9939609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predicts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cardiovascular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disease: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systematic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review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56"/>
          <w:sz w:val="16"/>
        </w:rPr>
        <w:t xml:space="preserve"> </w:t>
      </w:r>
      <w:r>
        <w:rPr>
          <w:rFonts w:ascii="Arial" w:hAnsi="Arial"/>
          <w:i/>
          <w:sz w:val="16"/>
        </w:rPr>
        <w:t>meta-analysis.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PLoS One. 2013 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300"/>
        <w:rPr/>
      </w:pPr>
      <w:r>
        <w:rPr>
          <w:rFonts w:ascii="Arial" w:hAnsi="Arial"/>
          <w:spacing w:val="-1"/>
          <w:sz w:val="16"/>
        </w:rPr>
        <w:t>Warodomwichit et al. (2009).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ADIPOQ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polymorphisms,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monounsaturated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fatty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acids,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obesity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risk:</w:t>
      </w:r>
      <w:r>
        <w:rPr>
          <w:rFonts w:ascii="Arial" w:hAnsi="Arial"/>
          <w:i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GOLDN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Obesity 17(3): 510-</w:t>
      </w:r>
      <w:r>
        <w:rPr>
          <w:rFonts w:ascii="Arial" w:hAnsi="Arial"/>
          <w:spacing w:val="102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517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597"/>
        <w:rPr/>
      </w:pPr>
      <w:r>
        <w:rPr>
          <w:rFonts w:ascii="Arial" w:hAnsi="Arial"/>
          <w:spacing w:val="-1"/>
          <w:sz w:val="16"/>
        </w:rPr>
        <w:t xml:space="preserve">Hivert </w:t>
      </w:r>
      <w:r>
        <w:rPr>
          <w:rFonts w:ascii="Arial" w:hAnsi="Arial"/>
          <w:sz w:val="16"/>
        </w:rPr>
        <w:t>et</w:t>
      </w:r>
      <w:r>
        <w:rPr>
          <w:rFonts w:ascii="Arial" w:hAnsi="Arial"/>
          <w:spacing w:val="-1"/>
          <w:sz w:val="16"/>
        </w:rPr>
        <w:t xml:space="preserve">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(2008).</w:t>
      </w:r>
      <w:r>
        <w:rPr>
          <w:rFonts w:ascii="Arial" w:hAnsi="Arial"/>
          <w:spacing w:val="2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Common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variants</w:t>
      </w:r>
      <w:r>
        <w:rPr>
          <w:rFonts w:ascii="Arial" w:hAnsi="Arial"/>
          <w:i/>
          <w:sz w:val="16"/>
        </w:rPr>
        <w:t xml:space="preserve"> in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gene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(ADIPOQ)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plasma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adiponectin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levels,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type</w:t>
      </w:r>
      <w:r>
        <w:rPr>
          <w:rFonts w:ascii="Arial" w:hAnsi="Arial"/>
          <w:i/>
          <w:sz w:val="16"/>
        </w:rPr>
        <w:t xml:space="preserve"> 2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diabetes,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and</w:t>
      </w:r>
      <w:r>
        <w:rPr>
          <w:rFonts w:ascii="Arial" w:hAnsi="Arial"/>
          <w:i/>
          <w:spacing w:val="95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diabetes-related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quantitative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traits: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the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Framingham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Offspring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Study.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Diabetes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57(12):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Arial" w:hAnsi="Arial"/>
          <w:color w:val="202020"/>
          <w:spacing w:val="-1"/>
          <w:sz w:val="16"/>
        </w:rPr>
        <w:t>Mahley RW.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Apolipoprotein </w:t>
      </w:r>
      <w:r>
        <w:rPr>
          <w:rFonts w:ascii="Arial" w:hAnsi="Arial"/>
          <w:i/>
          <w:color w:val="202020"/>
          <w:sz w:val="16"/>
        </w:rPr>
        <w:t>E:</w:t>
      </w:r>
      <w:r>
        <w:rPr>
          <w:rFonts w:ascii="Arial" w:hAnsi="Arial"/>
          <w:i/>
          <w:color w:val="202020"/>
          <w:spacing w:val="-1"/>
          <w:sz w:val="16"/>
        </w:rPr>
        <w:t xml:space="preserve"> from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cardiovascular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 xml:space="preserve">disease </w:t>
      </w:r>
      <w:r>
        <w:rPr>
          <w:rFonts w:ascii="Arial" w:hAnsi="Arial"/>
          <w:i/>
          <w:color w:val="202020"/>
          <w:sz w:val="16"/>
        </w:rPr>
        <w:t>to</w:t>
      </w:r>
      <w:r>
        <w:rPr>
          <w:rFonts w:ascii="Arial" w:hAnsi="Arial"/>
          <w:i/>
          <w:color w:val="202020"/>
          <w:spacing w:val="-1"/>
          <w:sz w:val="16"/>
        </w:rPr>
        <w:t xml:space="preserve"> neurodegenerative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disorders.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J</w:t>
      </w:r>
      <w:r>
        <w:rPr>
          <w:rFonts w:ascii="Arial" w:hAnsi="Arial"/>
          <w:color w:val="202020"/>
          <w:spacing w:val="-1"/>
          <w:sz w:val="16"/>
        </w:rPr>
        <w:t xml:space="preserve"> Mol Med (Berl). 2016 Jul;94(7):739-46.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Normal"/>
        <w:spacing w:lineRule="auto" w:line="240"/>
        <w:ind w:hanging="0" w:left="108" w:right="619"/>
        <w:rPr/>
      </w:pPr>
      <w:r>
        <w:rPr>
          <w:rFonts w:ascii="Arial" w:hAnsi="Arial"/>
          <w:color w:val="202020"/>
          <w:spacing w:val="-1"/>
          <w:sz w:val="16"/>
        </w:rPr>
        <w:t>Iwai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C,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Akita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Kanazawa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K, </w:t>
      </w:r>
      <w:r>
        <w:rPr>
          <w:rFonts w:ascii="Arial" w:hAnsi="Arial"/>
          <w:color w:val="202020"/>
          <w:spacing w:val="-1"/>
          <w:sz w:val="16"/>
        </w:rPr>
        <w:t>Shiga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 xml:space="preserve">N, </w:t>
      </w:r>
      <w:r>
        <w:rPr>
          <w:rFonts w:ascii="Arial" w:hAnsi="Arial"/>
          <w:color w:val="202020"/>
          <w:spacing w:val="-1"/>
          <w:sz w:val="16"/>
        </w:rPr>
        <w:t>Terashima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Matsuda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Takai</w:t>
      </w:r>
      <w:r>
        <w:rPr>
          <w:rFonts w:ascii="Arial" w:hAnsi="Arial"/>
          <w:color w:val="202020"/>
          <w:sz w:val="16"/>
        </w:rPr>
        <w:t xml:space="preserve"> E, </w:t>
      </w:r>
      <w:r>
        <w:rPr>
          <w:rFonts w:ascii="Arial" w:hAnsi="Arial"/>
          <w:color w:val="202020"/>
          <w:spacing w:val="-1"/>
          <w:sz w:val="16"/>
        </w:rPr>
        <w:t>Miyamoto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Shimizu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M,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Kajiya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Hayashi</w:t>
      </w:r>
      <w:r>
        <w:rPr>
          <w:rFonts w:ascii="Arial" w:hAnsi="Arial"/>
          <w:color w:val="202020"/>
          <w:sz w:val="16"/>
        </w:rPr>
        <w:t xml:space="preserve"> T,</w:t>
      </w:r>
      <w:r>
        <w:rPr>
          <w:rFonts w:ascii="Arial" w:hAnsi="Arial"/>
          <w:color w:val="202020"/>
          <w:spacing w:val="2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Yokoyama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z w:val="16"/>
        </w:rPr>
        <w:t>M.</w:t>
      </w:r>
      <w:r>
        <w:rPr>
          <w:rFonts w:ascii="Arial" w:hAnsi="Arial"/>
          <w:color w:val="202020"/>
          <w:spacing w:val="93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Arg389Gly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polymorphism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of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the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human beta1-adrenergic receptor</w:t>
      </w:r>
      <w:r>
        <w:rPr>
          <w:rFonts w:ascii="Arial" w:hAnsi="Arial"/>
          <w:i/>
          <w:color w:val="202020"/>
          <w:sz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</w:rPr>
        <w:t>patients with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nonfatal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acute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myocardial</w:t>
      </w:r>
      <w:r>
        <w:rPr>
          <w:rFonts w:ascii="Arial" w:hAnsi="Arial"/>
          <w:i/>
          <w:color w:val="202020"/>
          <w:sz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</w:rPr>
        <w:t>infarction.</w:t>
      </w:r>
      <w:r>
        <w:rPr>
          <w:rFonts w:ascii="Arial" w:hAnsi="Arial"/>
          <w:i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Am</w:t>
      </w:r>
      <w:r>
        <w:rPr>
          <w:rFonts w:ascii="Arial" w:hAnsi="Arial"/>
          <w:color w:val="202020"/>
          <w:spacing w:val="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Heart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J.</w:t>
      </w:r>
      <w:r>
        <w:rPr>
          <w:rFonts w:ascii="Arial" w:hAnsi="Arial"/>
          <w:color w:val="202020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2003</w:t>
      </w:r>
      <w:r>
        <w:rPr>
          <w:rFonts w:ascii="Arial" w:hAnsi="Arial"/>
          <w:color w:val="202020"/>
          <w:spacing w:val="101"/>
          <w:sz w:val="16"/>
        </w:rPr>
        <w:t xml:space="preserve"> </w:t>
      </w:r>
      <w:r>
        <w:rPr>
          <w:rFonts w:ascii="Arial" w:hAnsi="Arial"/>
          <w:color w:val="202020"/>
          <w:spacing w:val="-1"/>
          <w:sz w:val="16"/>
        </w:rPr>
        <w:t>Jul;146(1):106-9.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Normal"/>
        <w:spacing w:lineRule="auto" w:line="240"/>
        <w:ind w:hanging="0" w:left="108" w:right="168"/>
        <w:rPr/>
      </w:pPr>
      <w:r>
        <w:rPr>
          <w:rFonts w:ascii="Arial" w:hAnsi="Arial"/>
          <w:spacing w:val="-1"/>
          <w:sz w:val="16"/>
        </w:rPr>
        <w:t>Willer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et al.</w:t>
      </w:r>
      <w:r>
        <w:rPr>
          <w:rFonts w:ascii="Arial" w:hAnsi="Arial"/>
          <w:sz w:val="16"/>
        </w:rPr>
        <w:t xml:space="preserve"> </w:t>
      </w:r>
      <w:r>
        <w:rPr>
          <w:rFonts w:ascii="Arial" w:hAnsi="Arial"/>
          <w:spacing w:val="-1"/>
          <w:sz w:val="16"/>
        </w:rPr>
        <w:t>(2009).</w:t>
      </w:r>
      <w:r>
        <w:rPr>
          <w:rFonts w:ascii="Arial" w:hAnsi="Arial"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Six new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loci</w:t>
      </w:r>
      <w:r>
        <w:rPr>
          <w:rFonts w:ascii="Arial" w:hAnsi="Arial"/>
          <w:i/>
          <w:spacing w:val="1"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associated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with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mass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index highlight</w:t>
      </w:r>
      <w:r>
        <w:rPr>
          <w:rFonts w:ascii="Arial" w:hAnsi="Arial"/>
          <w:i/>
          <w:sz w:val="16"/>
        </w:rPr>
        <w:t xml:space="preserve"> a </w:t>
      </w:r>
      <w:r>
        <w:rPr>
          <w:rFonts w:ascii="Arial" w:hAnsi="Arial"/>
          <w:i/>
          <w:spacing w:val="-1"/>
          <w:sz w:val="16"/>
        </w:rPr>
        <w:t>neuronal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influence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on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i/>
          <w:spacing w:val="-1"/>
          <w:sz w:val="16"/>
        </w:rPr>
        <w:t>body weight regulation.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pacing w:val="-1"/>
          <w:sz w:val="16"/>
        </w:rPr>
        <w:t>Nat Genet 41(1): 25-</w:t>
      </w:r>
      <w:r>
        <w:rPr>
          <w:rFonts w:ascii="Arial" w:hAnsi="Arial"/>
          <w:spacing w:val="114"/>
          <w:sz w:val="16"/>
        </w:rPr>
        <w:t xml:space="preserve"> </w:t>
      </w:r>
      <w:r>
        <w:rPr>
          <w:rFonts w:ascii="Arial" w:hAnsi="Arial"/>
          <w:spacing w:val="-4"/>
          <w:sz w:val="16"/>
        </w:rPr>
        <w:t>34</w:t>
      </w:r>
    </w:p>
    <w:p>
      <w:pPr>
        <w:pStyle w:val="Normal"/>
        <w:spacing w:lineRule="auto" w:line="240"/>
        <w:ind w:hanging="0" w:left="108" w:right="168"/>
        <w:rPr>
          <w:rFonts w:ascii="Arial" w:hAnsi="Arial"/>
          <w:spacing w:val="-4"/>
          <w:sz w:val="16"/>
        </w:rPr>
      </w:pPr>
      <w:r>
        <w:rPr>
          <w:rFonts w:ascii="Arial" w:hAnsi="Arial"/>
          <w:spacing w:val="-4"/>
          <w:sz w:val="16"/>
        </w:rPr>
      </w:r>
    </w:p>
    <w:p>
      <w:pPr>
        <w:pStyle w:val="Normal"/>
        <w:spacing w:lineRule="auto" w:line="240"/>
        <w:ind w:hanging="0" w:left="108" w:right="168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1"/>
        <w:gridCol w:w="2211"/>
        <w:gridCol w:w="1847"/>
        <w:gridCol w:w="2318"/>
        <w:gridCol w:w="2512"/>
      </w:tblGrid>
      <w:tr>
        <w:trPr>
          <w:trHeight w:val="1170" w:hRule="exact"/>
        </w:trPr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11" w:type="dxa"/>
            <w:tcBorders>
              <w:top w:val="single" w:sz="2" w:space="0" w:color="000000"/>
              <w:bottom w:val="single" w:sz="2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2" w:space="0" w:color="000000"/>
              <w:bottom w:val="single" w:sz="2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2" w:space="0" w:color="000000"/>
              <w:bottom w:val="single" w:sz="2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206" w:bottom="94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6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ind w:hanging="0" w:left="108"/>
      <w:outlineLvl w:val="0"/>
    </w:pPr>
    <w:rPr>
      <w:rFonts w:ascii="Arial" w:hAnsi="Arial" w:eastAsia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8f5b3f"/>
    <w:rPr/>
  </w:style>
  <w:style w:type="character" w:styleId="PidipaginaCarattere" w:customStyle="1">
    <w:name w:val="Piè di pagina Carattere"/>
    <w:basedOn w:val="DefaultParagraphFont"/>
    <w:uiPriority w:val="99"/>
    <w:qFormat/>
    <w:rsid w:val="008f5b3f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2">
    <w:name w:val="Endnote Characters2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8f5b3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8f5b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Application>LibreOffice/24.2.5.2$Linux_X86_64 LibreOffice_project/420$Build-2</Application>
  <AppVersion>15.0000</AppVersion>
  <Pages>6</Pages>
  <Words>853</Words>
  <Characters>5273</Characters>
  <CharactersWithSpaces>6052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2021-09-20T12:25:00Z</dcterms:created>
  <dc:creator>Alessandra</dc:creator>
  <dc:description/>
  <dc:language>en-US</dc:language>
  <cp:lastModifiedBy/>
  <dcterms:modified xsi:type="dcterms:W3CDTF">2024-11-12T12:41:10Z</dcterms:modified>
  <cp:revision>80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LastSaved">
    <vt:filetime>2021-09-20T00:00:00Z</vt:filetime>
  </property>
</Properties>
</file>