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00"/>
        <w:ind w:hanging="0" w:left="125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1270" distB="0" distL="635" distR="635" simplePos="0" locked="0" layoutInCell="1" allowOverlap="1" relativeHeight="2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f10d0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f10d0c" stroked="t" o:allowincell="f" style="position:absolute;margin-left:2.4pt;margin-top:4.05pt;width:516.55pt;height:9.1pt;mso-wrap-style:none;v-text-anchor:middle">
                <v:fill o:detectmouseclick="t" type="solid" color2="#0ef2f3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hanging="0" w:left="0" w:right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F10D0C"/>
          <w:spacing w:val="-1"/>
          <w:sz w:val="36"/>
        </w:rPr>
        <w:t>test_title</w:t>
      </w:r>
      <w:r>
        <w:rPr>
          <w:b/>
          <w:color w:val="3BA1DA"/>
          <w:spacing w:val="-1"/>
          <w:sz w:val="36"/>
        </w:rPr>
        <w:br/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1270" distB="0" distL="635" distR="635" simplePos="0" locked="0" layoutInCell="1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60820" cy="116205"/>
                <wp:effectExtent l="635" t="1270" r="635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000" cy="116280"/>
                        </a:xfrm>
                        <a:prstGeom prst="rect">
                          <a:avLst/>
                        </a:prstGeom>
                        <a:solidFill>
                          <a:srgbClr val="f10d0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10d0c" stroked="t" o:allowincell="f" style="position:absolute;margin-left:2.4pt;margin-top:4.05pt;width:516.55pt;height:9.1pt;mso-wrap-style:none;v-text-anchor:middle">
                <v:fill o:detectmouseclick="t" type="solid" color2="#0ef2f3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lineRule="exact" w:line="349"/>
        <w:ind w:hanging="0" w:left="108"/>
        <w:rPr>
          <w:rFonts w:ascii="Arial" w:hAnsi="Arial"/>
          <w:b/>
          <w:spacing w:val="-1"/>
          <w:sz w:val="32"/>
          <w:szCs w:val="24"/>
        </w:rPr>
      </w:pPr>
      <w:r>
        <w:rPr>
          <w:rFonts w:ascii="Arial" w:hAnsi="Arial"/>
          <w:b/>
          <w:spacing w:val="-1"/>
          <w:sz w:val="32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  <w:br/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0"/>
        <w:gridCol w:w="3620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739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72" w:after="0"/>
        <w:ind w:hanging="0" w:left="1682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br/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SINDROME METABOLICA (MetS)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&lt;testo_sindrome_met&gt;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p>
      <w:pPr>
        <w:pStyle w:val="Normal"/>
        <w:spacing w:before="3" w:after="0"/>
        <w:rPr>
          <w:rFonts w:ascii="Arial" w:hAnsi="Arial" w:eastAsia="Arial" w:cs="Arial"/>
          <w:sz w:val="14"/>
          <w:szCs w:val="14"/>
          <w:lang w:val="it-IT"/>
        </w:rPr>
      </w:pPr>
      <w:r>
        <w:rPr>
          <w:rFonts w:eastAsia="Arial" w:cs="Arial" w:ascii="Arial" w:hAnsi="Arial"/>
          <w:sz w:val="14"/>
          <w:szCs w:val="14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sz w:val="20"/>
                <w:lang w:val="it-IT" w:eastAsia="en-US" w:bidi="ar-SA"/>
              </w:rPr>
              <w:t>&lt;testo_intolleranze_junior&gt;</w:t>
            </w:r>
          </w:p>
        </w:tc>
      </w:tr>
    </w:tbl>
    <w:p>
      <w:pPr>
        <w:pStyle w:val="Normal"/>
        <w:spacing w:lineRule="atLeast" w:line="200"/>
        <w:ind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p>
      <w:pPr>
        <w:pStyle w:val="Normal"/>
        <w:spacing w:lineRule="atLeast" w:line="200"/>
        <w:ind w:hanging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82CBD9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82CBD9"/>
                <w:spacing w:val="-1"/>
                <w:kern w:val="0"/>
                <w:sz w:val="24"/>
                <w:szCs w:val="24"/>
                <w:lang w:val="it-IT" w:eastAsia="en-US" w:bidi="ar-SA"/>
              </w:rPr>
              <w:t>INSORGENZA DI CARIE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82CB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000000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2"/>
                <w:szCs w:val="22"/>
                <w:lang w:val="it-IT" w:eastAsia="en-US" w:bidi="ar-SA"/>
              </w:rPr>
              <w:t>&lt;testo_carie&gt;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p>
      <w:pPr>
        <w:pStyle w:val="Normal"/>
        <w:spacing w:before="9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sz w:val="14"/>
          <w:szCs w:val="14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3BA1DA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3BA1DA"/>
                <w:kern w:val="0"/>
                <w:sz w:val="24"/>
                <w:szCs w:val="24"/>
                <w:lang w:val="it-IT" w:eastAsia="en-US" w:bidi="ar-SA"/>
              </w:rPr>
              <w:t>DISFUNZIONI METABOLICHE VITAMINE/MINERALI E FRAGILITA’ OSSEA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3BA1DA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&lt;testo_fragilita&gt;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4893310</wp:posOffset>
            </wp:positionH>
            <wp:positionV relativeFrom="paragraph">
              <wp:posOffset>123190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156210</wp:posOffset>
            </wp:positionH>
            <wp:positionV relativeFrom="paragraph">
              <wp:posOffset>79375</wp:posOffset>
            </wp:positionV>
            <wp:extent cx="1431925" cy="596900"/>
            <wp:effectExtent l="0" t="0" r="0" b="0"/>
            <wp:wrapSquare wrapText="largest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tabs>
          <w:tab w:val="clear" w:pos="720"/>
          <w:tab w:val="left" w:pos="5274" w:leader="none"/>
        </w:tabs>
        <w:spacing w:lineRule="atLeast" w:line="200"/>
        <w:ind w:hanging="0" w:left="108"/>
        <w:rPr/>
      </w:pPr>
      <w:r>
        <w:rPr>
          <w:position w:val="20"/>
        </w:rPr>
        <w:tab/>
      </w:r>
    </w:p>
    <w:p>
      <w:pPr>
        <w:pStyle w:val="Normal"/>
        <w:spacing w:lineRule="auto" w:line="276" w:before="12" w:after="0"/>
        <w:ind w:hanging="0" w:left="108" w:right="116"/>
        <w:rPr>
          <w:b/>
          <w:sz w:val="16"/>
          <w:szCs w:val="16"/>
          <w:u w:val="single" w:color="000000"/>
          <w:lang w:val="it-IT"/>
        </w:rPr>
      </w:pPr>
      <w:r>
        <w:rPr>
          <w:b/>
          <w:sz w:val="16"/>
          <w:szCs w:val="16"/>
          <w:u w:val="single" w:color="000000"/>
          <w:lang w:val="it-IT"/>
        </w:rPr>
      </w:r>
    </w:p>
    <w:p>
      <w:pPr>
        <w:pStyle w:val="Normal"/>
        <w:spacing w:lineRule="auto" w:line="276" w:before="12" w:after="0"/>
        <w:ind w:hanging="0" w:left="108" w:right="116"/>
        <w:rPr>
          <w:sz w:val="16"/>
          <w:szCs w:val="16"/>
        </w:rPr>
      </w:pPr>
      <w:r>
        <w:rPr>
          <w:b/>
          <w:sz w:val="16"/>
          <w:szCs w:val="16"/>
          <w:u w:val="single" w:color="000000"/>
          <w:lang w:val="it-IT"/>
        </w:rPr>
        <w:t>N.B.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La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sintesi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sopra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riportata</w:t>
      </w:r>
      <w:r>
        <w:rPr>
          <w:b/>
          <w:spacing w:val="48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non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z w:val="16"/>
          <w:szCs w:val="16"/>
          <w:u w:val="single" w:color="000000"/>
          <w:lang w:val="it-IT"/>
        </w:rPr>
        <w:t>è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una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clinica</w:t>
      </w:r>
      <w:r>
        <w:rPr>
          <w:b/>
          <w:spacing w:val="47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(le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diagnosi</w:t>
      </w:r>
      <w:r>
        <w:rPr>
          <w:b/>
          <w:spacing w:val="44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cliniche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spettano</w:t>
      </w:r>
      <w:r>
        <w:rPr>
          <w:b/>
          <w:spacing w:val="46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esclusivamente</w:t>
      </w:r>
      <w:r>
        <w:rPr>
          <w:b/>
          <w:spacing w:val="45"/>
          <w:sz w:val="16"/>
          <w:szCs w:val="16"/>
          <w:u w:val="single" w:color="000000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al</w:t>
      </w:r>
      <w:r>
        <w:rPr>
          <w:b/>
          <w:spacing w:val="40"/>
          <w:sz w:val="16"/>
          <w:szCs w:val="16"/>
          <w:lang w:val="it-IT"/>
        </w:rPr>
        <w:t xml:space="preserve"> </w:t>
      </w:r>
      <w:r>
        <w:rPr>
          <w:b/>
          <w:spacing w:val="-1"/>
          <w:sz w:val="16"/>
          <w:szCs w:val="16"/>
          <w:u w:val="single" w:color="000000"/>
          <w:lang w:val="it-IT"/>
        </w:rPr>
        <w:t>medico).</w:t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PREDISPOSIZIONE GENETICA ALLA SINDORME METABOLICA (MetS)</w:t>
      </w:r>
    </w:p>
    <w:p>
      <w:pPr>
        <w:pStyle w:val="Normal"/>
        <w:spacing w:lineRule="auto" w:line="276" w:before="69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spacing w:val="-2"/>
          <w:lang w:val="it-IT"/>
        </w:rPr>
        <w:t>Negli ultimi anni, in concomitanza con l’aumento dei casi di obesità nell’età pediatrica, si è osservato un importante incremento della prevalenza di sindrome metabolica (MetS) nei bambini e negli adolescenti. La MetS è molto frequente e altera il peso anche in casi di sola alimentazione poco corretta e può alterare il metabolismo glicemico e lipidico fin dalla giovane età. Le modificazioni dello stile di vita, interessanti sia le abitudini alimentari che l’attività motoria, rimangono a tutt’oggi il punto cardine della gestione e del trattamento della MetS in età pediatrica e adolescenziale.</w:t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testo_sindrome_met_lungo</w:t>
      </w:r>
    </w:p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247"/>
        <w:gridCol w:w="2697"/>
        <w:gridCol w:w="3125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06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24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1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5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60"/>
        <w:gridCol w:w="1607"/>
        <w:gridCol w:w="1604"/>
        <w:gridCol w:w="2341"/>
        <w:gridCol w:w="2545"/>
      </w:tblGrid>
      <w:tr>
        <w:trPr>
          <w:trHeight w:val="454" w:hRule="atLeast"/>
        </w:trPr>
        <w:tc>
          <w:tcPr>
            <w:tcW w:w="2360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160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60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0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0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4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4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  <w:r>
        <w:br w:type="page"/>
      </w:r>
    </w:p>
    <w:p>
      <w:pPr>
        <w:pStyle w:val="Normal"/>
        <w:spacing w:lineRule="exact" w:line="281" w:before="0" w:after="0"/>
        <w:ind w:hanging="0"/>
        <w:rPr>
          <w:b w:val="false"/>
          <w:bCs w:val="false"/>
          <w:color w:val="92D050"/>
        </w:rPr>
      </w:pPr>
      <w:r>
        <w:rPr>
          <w:b w:val="false"/>
          <w:bCs w:val="false"/>
          <w:color w:val="92D050"/>
        </w:rPr>
      </w:r>
    </w:p>
    <w:p>
      <w:pPr>
        <w:pStyle w:val="Heading1"/>
        <w:spacing w:before="0" w:after="0"/>
        <w:ind w:hanging="0" w:left="2147"/>
        <w:rPr>
          <w:b w:val="false"/>
          <w:bCs w:val="false"/>
          <w:color w:val="92D050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Le intolleranze alimentari in età pediatrica richiedono una gestione attenta e personalizzata. Un'adeguata diagnosi e un approccio dietetico corretto possono aiutare a minimizzare i sintomi e migliorare la qualità della vita dei bambini affetti. È fondamentale garantire un trattamento efficace e personalizzato considerando la componente genetica.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rPr>
          <w:b w:val="false"/>
          <w:bCs w:val="false"/>
          <w:spacing w:val="-8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testo_intolleranze_junior_lungo</w:t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Heading2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p>
      <w:pPr>
        <w:pStyle w:val="Normal"/>
        <w:rPr>
          <w:b w:val="false"/>
          <w:bCs w:val="false"/>
          <w:spacing w:val="-8"/>
          <w:lang w:val="it-IT"/>
        </w:rPr>
      </w:pPr>
      <w:r>
        <w:rPr>
          <w:b w:val="false"/>
          <w:bCs w:val="false"/>
          <w:spacing w:val="-8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89"/>
        <w:gridCol w:w="2425"/>
        <w:gridCol w:w="2359"/>
        <w:gridCol w:w="1337"/>
        <w:gridCol w:w="2440"/>
      </w:tblGrid>
      <w:tr>
        <w:trPr>
          <w:trHeight w:val="454" w:hRule="atLeast"/>
        </w:trPr>
        <w:tc>
          <w:tcPr>
            <w:tcW w:w="1789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1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8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3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sz w:val="17"/>
          <w:szCs w:val="17"/>
        </w:rPr>
      </w:pPr>
      <w:r>
        <w:rPr>
          <w:rFonts w:eastAsia="Arial" w:cs="Arial" w:ascii="Arial" w:hAnsi="Arial"/>
          <w:b/>
          <w:bCs/>
          <w:sz w:val="17"/>
          <w:szCs w:val="17"/>
        </w:rPr>
      </w:r>
    </w:p>
    <w:p>
      <w:pPr>
        <w:pStyle w:val="Normal"/>
        <w:spacing w:before="69" w:after="0"/>
        <w:ind w:hanging="0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b/>
          <w:color w:val="82CBD9"/>
          <w:spacing w:val="-1"/>
          <w:sz w:val="24"/>
          <w:szCs w:val="24"/>
          <w:lang w:val="it-IT"/>
        </w:rPr>
        <w:t>PREDISPOSIZIONE GENETICA ALL’INSORGENZA DI CARIE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2"/>
          <w:lang w:val="it-IT"/>
        </w:rPr>
        <w:t>La carie dentale è una malattia patologica multifattoriale considerata una delle malattie croniche più diffuse che colpisce sia i bambini che gli adulti. Varianti genetiche (SNPs) sono state associate all'aumentata prevalenza di carie così come alla ridotta prevalenza di carie. Alcune proteine codificate da geni specifici e presenti nella saliva sono state correlate alle risposte immunitarie individuali e possiedono proprietà antimicrobiche, antivirali, antifungine e/o antinfiammatorie.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rFonts w:cs="Arial"/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testo_carie_lungo</w:t>
      </w:r>
    </w:p>
    <w:p>
      <w:pPr>
        <w:pStyle w:val="Heading2"/>
        <w:jc w:val="both"/>
        <w:rPr>
          <w:rFonts w:cs="Arial"/>
          <w:b w:val="false"/>
          <w:bCs w:val="false"/>
          <w:lang w:val="it-IT"/>
        </w:rPr>
      </w:pPr>
      <w:r>
        <w:rPr>
          <w:rFonts w:cs="Arial"/>
          <w:b w:val="false"/>
          <w:bCs w:val="false"/>
          <w:lang w:val="it-IT"/>
        </w:rPr>
      </w:r>
    </w:p>
    <w:p>
      <w:pPr>
        <w:pStyle w:val="Heading2"/>
        <w:jc w:val="both"/>
        <w:rPr>
          <w:rFonts w:cs="Arial"/>
          <w:b w:val="false"/>
          <w:bCs w:val="false"/>
          <w:sz w:val="19"/>
          <w:szCs w:val="19"/>
          <w:lang w:val="it-IT"/>
        </w:rPr>
      </w:pPr>
      <w:r>
        <w:rPr>
          <w:rFonts w:cs="Arial"/>
          <w:b w:val="false"/>
          <w:bCs w:val="false"/>
          <w:sz w:val="19"/>
          <w:szCs w:val="19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2246"/>
        <w:gridCol w:w="2697"/>
        <w:gridCol w:w="3126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06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24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12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pageBreakBefore w:val="false"/>
        <w:spacing w:before="8" w:after="0"/>
        <w:rPr>
          <w:rFonts w:ascii="Times New Roman" w:hAnsi="Times New Roman" w:eastAsia="Times New Roman" w:cs="Times New Roman"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sz w:val="20"/>
          <w:szCs w:val="20"/>
          <w:lang w:val="it-IT"/>
        </w:rPr>
      </w:r>
      <w:r>
        <w:br w:type="page"/>
      </w:r>
    </w:p>
    <w:p>
      <w:pPr>
        <w:pStyle w:val="Normal"/>
        <w:spacing w:before="0" w:after="0"/>
        <w:ind w:hanging="0" w:right="42"/>
        <w:jc w:val="center"/>
        <w:rPr>
          <w:rFonts w:ascii="Arial" w:hAnsi="Arial"/>
          <w:b/>
          <w:color w:val="3BA1DA"/>
          <w:spacing w:val="1"/>
          <w:sz w:val="24"/>
          <w:lang w:val="it-IT"/>
        </w:rPr>
      </w:pPr>
      <w:r>
        <w:rPr>
          <w:rFonts w:ascii="Arial" w:hAnsi="Arial"/>
          <w:b/>
          <w:color w:val="3BA1DA"/>
          <w:spacing w:val="1"/>
          <w:sz w:val="24"/>
          <w:lang w:val="it-IT"/>
        </w:rPr>
      </w:r>
    </w:p>
    <w:p>
      <w:pPr>
        <w:pStyle w:val="Normal"/>
        <w:spacing w:before="0" w:after="0"/>
        <w:ind w:hanging="0" w:right="42"/>
        <w:jc w:val="center"/>
        <w:rPr>
          <w:rFonts w:ascii="Arial" w:hAnsi="Arial"/>
          <w:b/>
          <w:color w:val="3BA1DA"/>
          <w:spacing w:val="1"/>
          <w:sz w:val="24"/>
          <w:lang w:val="it-IT"/>
        </w:rPr>
      </w:pPr>
      <w:r>
        <w:rPr>
          <w:rFonts w:eastAsia="Arial" w:cs="Arial" w:ascii="Arial" w:hAnsi="Arial"/>
          <w:b/>
          <w:color w:val="3BA1DA"/>
          <w:spacing w:val="-1"/>
          <w:sz w:val="24"/>
          <w:szCs w:val="24"/>
          <w:lang w:val="it-IT"/>
        </w:rPr>
        <w:t>PREDISPOSIZIONE GENETICA A DISFUNZIONI METABOLICHE VITAMINE/MINERALI E FRAGILITA’ OSSEA</w:t>
      </w:r>
    </w:p>
    <w:p>
      <w:pPr>
        <w:pStyle w:val="Normal"/>
        <w:spacing w:before="2" w:after="0"/>
        <w:rPr>
          <w:rFonts w:ascii="Arial" w:hAnsi="Arial" w:eastAsia="Arial" w:cs="Arial"/>
          <w:b/>
          <w:bCs/>
          <w:sz w:val="21"/>
          <w:szCs w:val="21"/>
          <w:lang w:val="it-IT"/>
        </w:rPr>
      </w:pPr>
      <w:r>
        <w:rPr>
          <w:rFonts w:eastAsia="Arial" w:cs="Arial" w:ascii="Arial" w:hAnsi="Arial"/>
          <w:b/>
          <w:bCs/>
          <w:sz w:val="21"/>
          <w:szCs w:val="21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 xml:space="preserve">Le fratture pediatriche e/o giovanili sono comuni e spesso legate a traumi. Tuttavia, in alcuni bambini, queste fratture possono essere influenzate da fattori genetici. </w:t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Inoltre, minerali e vitamine sono essenziali per la salute ossea. Per esempio, la vitamina D è essenziale soprattutto in età pediatrica, poiché facilita l'assorbimento del calcio e del fosforo, minerali cruciali per la formazione e il mantenimento delle ossa.</w:t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È quindi importante conoscere una predisposizione genetica sin dall’infanzia a condizioni quali la fragilità ossea, per un trattamento efficace e personalizzato.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r>
        <w:rPr>
          <w:rFonts w:cs="Arial"/>
          <w:b w:val="false"/>
          <w:bCs w:val="false"/>
          <w:lang w:val="it-IT"/>
        </w:rPr>
        <w:t>testo_fragilita_lungo</w:t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40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2880"/>
        <w:gridCol w:w="2697"/>
        <w:gridCol w:w="2671"/>
      </w:tblGrid>
      <w:tr>
        <w:trPr>
          <w:trHeight w:val="454" w:hRule="atLeast"/>
        </w:trPr>
        <w:tc>
          <w:tcPr>
            <w:tcW w:w="2159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8248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2159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88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69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7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spacing w:val="-1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b/>
          <w:bCs/>
          <w:spacing w:val="-1"/>
          <w:lang w:val="it-IT"/>
        </w:rPr>
        <w:t>non costituisce una diagnosi clinica e non sostituisce il parere del medico</w:t>
      </w:r>
      <w:r>
        <w:rPr>
          <w:spacing w:val="-1"/>
          <w:lang w:val="it-IT"/>
        </w:rPr>
        <w:t xml:space="preserve">. I risultati devono essere valutati ed approvati alla luce della storia anamnestica personale su </w:t>
      </w:r>
      <w:r>
        <w:rPr>
          <w:b/>
          <w:bCs/>
          <w:spacing w:val="-1"/>
          <w:lang w:val="it-IT"/>
        </w:rPr>
        <w:t>verifica del medico curante</w:t>
      </w:r>
      <w:r>
        <w:rPr>
          <w:spacing w:val="-1"/>
          <w:lang w:val="it-IT"/>
        </w:rPr>
        <w:t>.</w:t>
      </w:r>
    </w:p>
    <w:p>
      <w:pPr>
        <w:pStyle w:val="BodyText"/>
        <w:spacing w:lineRule="auto" w:line="271" w:before="74" w:after="0"/>
        <w:ind w:hanging="0" w:left="108" w:right="98"/>
        <w:jc w:val="both"/>
        <w:rPr>
          <w:lang w:val="it-IT"/>
        </w:rPr>
      </w:pPr>
      <w:r>
        <w:rPr/>
      </w:r>
    </w:p>
    <w:p>
      <w:pPr>
        <w:pStyle w:val="BodyText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2" w:after="0"/>
        <w:rPr>
          <w:rFonts w:ascii="Arial" w:hAnsi="Arial" w:eastAsia="Arial" w:cs="Arial"/>
          <w:b/>
          <w:bCs/>
          <w:sz w:val="13"/>
          <w:szCs w:val="13"/>
          <w:lang w:val="it-IT"/>
        </w:rPr>
      </w:pPr>
      <w:r>
        <w:rPr>
          <w:rFonts w:eastAsia="Arial" w:cs="Arial" w:ascii="Arial" w:hAnsi="Arial"/>
          <w:b/>
          <w:bCs/>
          <w:sz w:val="13"/>
          <w:szCs w:val="13"/>
          <w:lang w:val="it-IT"/>
        </w:rPr>
      </w:r>
    </w:p>
    <w:p>
      <w:pPr>
        <w:pStyle w:val="Normal"/>
        <w:spacing w:before="80" w:after="0"/>
        <w:ind w:hanging="0" w:left="108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76" w:before="1" w:after="0"/>
        <w:rPr>
          <w:rFonts w:ascii="Times New Roman" w:hAnsi="Times New Roman" w:eastAsia="Times New Roman" w:cs="Times New Roman"/>
          <w:b/>
          <w:bCs/>
          <w:i/>
          <w:i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20"/>
          <w:szCs w:val="20"/>
          <w:lang w:val="it-IT"/>
        </w:rPr>
      </w:r>
    </w:p>
    <w:p>
      <w:pPr>
        <w:pStyle w:val="Normal"/>
        <w:spacing w:lineRule="auto" w:line="240"/>
        <w:ind w:hanging="0" w:left="108" w:right="423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4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5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/>
        <w:ind w:hanging="0" w:left="108" w:right="423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6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Simona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Chita,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Anca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Tudor,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Ruxandra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Christodorescu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al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Prevalence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Factors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Involved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8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Cardioembolic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Stroke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Severity. </w:t>
      </w:r>
      <w:r>
        <w:rPr>
          <w:rFonts w:ascii="Times New Roman" w:hAnsi="Times New Roman"/>
          <w:spacing w:val="-1"/>
          <w:sz w:val="16"/>
          <w:szCs w:val="16"/>
        </w:rPr>
        <w:t>Brain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Sci.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2020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10(8):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Chun-Jian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Qiu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Xiao-Zheng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Ye,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Xiao-Juan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Yu,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Xiao-Ren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Peng,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Tong-Huan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between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FABP2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Ala54Thr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</w:t>
      </w:r>
      <w:r>
        <w:rPr>
          <w:rFonts w:ascii="Times New Roman" w:hAnsi="Times New Roman"/>
          <w:i/>
          <w:spacing w:val="4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mellitus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HuGE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Review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Meta-Analysis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Cell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Mol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Med.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2014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2"/>
          <w:sz w:val="16"/>
          <w:szCs w:val="16"/>
        </w:rPr>
        <w:t>Dec;18(12):2530-5.</w:t>
      </w:r>
    </w:p>
    <w:p>
      <w:pPr>
        <w:pStyle w:val="Normal"/>
        <w:spacing w:lineRule="auto" w:line="240" w:before="7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Dayana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Rodrigues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Farias,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Nadya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Helena</w:t>
      </w:r>
      <w:r>
        <w:rPr>
          <w:rFonts w:ascii="Times New Roman" w:hAnsi="Times New Roman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Alves-Santos,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Ilana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Eshriqui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Leptin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(rs7799039;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G2548A)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changes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lipid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during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pregnancy: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prospective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cohort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Eur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Nutr.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2020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Crider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(2011).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MTHFR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677C-&gt;T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genotype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folate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homocysteine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concentrations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large,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population-based,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double-blind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trial</w:t>
      </w:r>
      <w:r>
        <w:rPr>
          <w:rFonts w:ascii="Times New Roman" w:hAnsi="Times New Roman"/>
          <w:i/>
          <w:spacing w:val="3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folic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supplementation.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Am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Clin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Nutr.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Chibo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Liu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,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Sihua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Mou,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Chunqin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FTO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rs9939609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predicts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disease: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systematic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review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meta-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analysis.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PLoS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One.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2013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Aug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19;8(8):e71901.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Warodomwichit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ADIPOQ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polymorphisms,</w:t>
      </w:r>
      <w:r>
        <w:rPr>
          <w:rFonts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monounsaturated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fatty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acids,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obesity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risk: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GOLDN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 xml:space="preserve">study. </w:t>
      </w:r>
      <w:r>
        <w:rPr>
          <w:rFonts w:ascii="Times New Roman" w:hAnsi="Times New Roman"/>
          <w:spacing w:val="-1"/>
          <w:sz w:val="16"/>
          <w:szCs w:val="16"/>
        </w:rPr>
        <w:t>Obesity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17(3):</w:t>
      </w:r>
      <w:r>
        <w:rPr>
          <w:rFonts w:ascii="Times New Roman" w:hAnsi="Times New Roman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510-517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Hivert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  <w:szCs w:val="16"/>
        </w:rPr>
        <w:t>Common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(ADIPOQ)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plasma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adiponectin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2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and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diabetes-related</w:t>
      </w:r>
      <w:r>
        <w:rPr>
          <w:rFonts w:ascii="Times New Roman" w:hAnsi="Times New Roman"/>
          <w:i/>
          <w:spacing w:val="7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quantitative</w:t>
      </w:r>
      <w:r>
        <w:rPr>
          <w:rFonts w:ascii="Times New Roman" w:hAnsi="Times New Roman"/>
          <w:i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traits: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Framingham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Offspring</w:t>
      </w:r>
      <w:r>
        <w:rPr>
          <w:rFonts w:ascii="Times New Roman" w:hAnsi="Times New Roman"/>
          <w:i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Study.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Diabetes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57(12):</w:t>
      </w:r>
      <w:r>
        <w:rPr>
          <w:rFonts w:ascii="Times New Roman" w:hAnsi="Times New Roman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Mahley</w:t>
      </w:r>
      <w:r>
        <w:rPr>
          <w:rFonts w:ascii="Times New Roman" w:hAnsi="Times New Roman"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RW.</w:t>
      </w:r>
      <w:r>
        <w:rPr>
          <w:rFonts w:ascii="Times New Roman" w:hAnsi="Times New Roman"/>
          <w:color w:val="202020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disorders.</w:t>
      </w:r>
      <w:r>
        <w:rPr>
          <w:rFonts w:ascii="Times New Roman" w:hAnsi="Times New Roman"/>
          <w:i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J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Mol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Med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(Berl).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2016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Jul;94(7):739-46.</w:t>
      </w:r>
    </w:p>
    <w:p>
      <w:pPr>
        <w:pStyle w:val="Normal"/>
        <w:spacing w:lineRule="auto" w:line="240" w:before="10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color w:val="202020"/>
          <w:spacing w:val="-1"/>
          <w:sz w:val="16"/>
          <w:szCs w:val="16"/>
        </w:rPr>
        <w:t>Iwai</w:t>
      </w:r>
      <w:r>
        <w:rPr>
          <w:rFonts w:ascii="Times New Roman" w:hAnsi="Times New Roman"/>
          <w:color w:val="202020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C,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Akita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K,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Shiga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N,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3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Matsuda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Takai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E,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Y,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Shimizu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Kajiya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Hayashi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z w:val="16"/>
          <w:szCs w:val="16"/>
        </w:rPr>
        <w:t>T,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M.</w:t>
      </w:r>
      <w:r>
        <w:rPr>
          <w:rFonts w:ascii="Times New Roman" w:hAnsi="Times New Roman"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  <w:szCs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  <w:szCs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Am</w:t>
      </w:r>
      <w:r>
        <w:rPr>
          <w:rFonts w:ascii="Times New Roman" w:hAnsi="Times New Roman"/>
          <w:color w:val="202020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Heart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J.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  <w:szCs w:val="16"/>
        </w:rPr>
        <w:t>2003</w:t>
      </w:r>
      <w:r>
        <w:rPr>
          <w:rFonts w:ascii="Times New Roman" w:hAnsi="Times New Roman"/>
          <w:color w:val="202020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  <w:szCs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171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Willer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Six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new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loci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mass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index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highlight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a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neuronal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influence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body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weight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regulation.</w:t>
      </w:r>
      <w:r>
        <w:rPr>
          <w:rFonts w:ascii="Times New Roman" w:hAnsi="Times New Roman"/>
          <w:i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Nat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41(1):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25-34</w:t>
      </w:r>
      <w:r>
        <w:rPr>
          <w:rFonts w:ascii="Times New Roman" w:hAnsi="Times New Roman"/>
          <w:spacing w:val="50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Benyamin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(2009).</w:t>
      </w:r>
      <w:r>
        <w:rPr>
          <w:rFonts w:ascii="Times New Roman" w:hAnsi="Times New Roman"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Variants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HFE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explain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approximately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40%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genetic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variation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serum-transferrin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levels.</w:t>
      </w:r>
      <w:r>
        <w:rPr>
          <w:rFonts w:ascii="Times New Roman" w:hAnsi="Times New Roman"/>
          <w:i/>
          <w:spacing w:val="2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Am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J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Hum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Genet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84(1):</w:t>
      </w:r>
      <w:r>
        <w:rPr>
          <w:rFonts w:ascii="Times New Roman" w:hAnsi="Times New Roman"/>
          <w:spacing w:val="1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60-65</w:t>
      </w:r>
    </w:p>
    <w:p>
      <w:pPr>
        <w:pStyle w:val="Normal"/>
        <w:spacing w:lineRule="auto" w:line="240" w:before="42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 xml:space="preserve"> </w:t>
      </w:r>
    </w:p>
    <w:p>
      <w:pPr>
        <w:pStyle w:val="Normal"/>
        <w:spacing w:lineRule="auto" w:line="240" w:before="42" w:after="0"/>
        <w:ind w:hanging="0" w:left="108" w:right="270"/>
        <w:rPr>
          <w:sz w:val="16"/>
          <w:szCs w:val="16"/>
        </w:rPr>
      </w:pPr>
      <w:r>
        <w:rPr>
          <w:rFonts w:ascii="Times New Roman" w:hAnsi="Times New Roman"/>
          <w:spacing w:val="-1"/>
          <w:sz w:val="16"/>
          <w:szCs w:val="16"/>
        </w:rPr>
        <w:t>Keen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et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al.</w:t>
      </w:r>
      <w:r>
        <w:rPr>
          <w:rFonts w:ascii="Times New Roman" w:hAnsi="Times New Roman"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(1999).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Association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of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polymorphism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at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the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type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(COL1A1)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locus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with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reduced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bone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mineral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density,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fracture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risk,</w:t>
      </w:r>
      <w:r>
        <w:rPr>
          <w:rFonts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and</w:t>
      </w:r>
      <w:r>
        <w:rPr>
          <w:rFonts w:ascii="Times New Roman" w:hAnsi="Times New Roman"/>
          <w:i/>
          <w:spacing w:val="47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increased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collagen</w:t>
      </w:r>
      <w:r>
        <w:rPr>
          <w:rFonts w:ascii="Times New Roman" w:hAnsi="Times New Roman"/>
          <w:i/>
          <w:spacing w:val="11"/>
          <w:sz w:val="16"/>
          <w:szCs w:val="16"/>
        </w:rPr>
        <w:t xml:space="preserve"> </w:t>
      </w:r>
      <w:r>
        <w:rPr>
          <w:rFonts w:ascii="Times New Roman" w:hAnsi="Times New Roman"/>
          <w:i/>
          <w:spacing w:val="-1"/>
          <w:sz w:val="16"/>
          <w:szCs w:val="16"/>
        </w:rPr>
        <w:t>turnover.</w:t>
      </w:r>
      <w:r>
        <w:rPr>
          <w:rFonts w:ascii="Times New Roman" w:hAnsi="Times New Roman"/>
          <w:i/>
          <w:spacing w:val="-2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Arthritis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Rheum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42(2):</w:t>
      </w:r>
      <w:r>
        <w:rPr>
          <w:rFonts w:ascii="Times New Roman" w:hAnsi="Times New Roman"/>
          <w:spacing w:val="5"/>
          <w:sz w:val="16"/>
          <w:szCs w:val="16"/>
        </w:rPr>
        <w:t xml:space="preserve"> </w:t>
      </w:r>
      <w:r>
        <w:rPr>
          <w:rFonts w:ascii="Times New Roman" w:hAnsi="Times New Roman"/>
          <w:spacing w:val="-1"/>
          <w:sz w:val="16"/>
          <w:szCs w:val="16"/>
        </w:rPr>
        <w:t>285-290</w:t>
      </w:r>
      <w:r>
        <w:br w:type="page"/>
      </w:r>
    </w:p>
    <w:p>
      <w:pPr>
        <w:pStyle w:val="Normal"/>
        <w:spacing w:lineRule="auto" w:line="240" w:before="0" w:after="0"/>
        <w:ind w:hanging="0" w:left="108" w:right="270"/>
        <w:rPr/>
      </w:pPr>
      <w:r>
        <w:rPr/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7"/>
          <w:szCs w:val="17"/>
          <w:lang w:val="it-IT"/>
        </w:rPr>
      </w:pPr>
      <w:r>
        <w:rPr>
          <w:rFonts w:eastAsia="Times New Roman" w:cs="Times New Roman" w:ascii="Times New Roman" w:hAnsi="Times New Roman"/>
          <w:sz w:val="17"/>
          <w:szCs w:val="17"/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8" w:footer="207" w:bottom="40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N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hanging="0" w:left="108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6f7d9e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6f7d9e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603722"/>
    <w:rPr/>
  </w:style>
  <w:style w:type="character" w:styleId="PidipaginaCarattere" w:customStyle="1">
    <w:name w:val="Piè di pagina Carattere"/>
    <w:basedOn w:val="DefaultParagraphFont"/>
    <w:uiPriority w:val="99"/>
    <w:qFormat/>
    <w:rsid w:val="00603722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603722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c22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LibreOffice/24.2.5.2$Linux_X86_64 LibreOffice_project/420$Build-2</Application>
  <AppVersion>15.0000</AppVersion>
  <Pages>7</Pages>
  <Words>963</Words>
  <Characters>6110</Characters>
  <CharactersWithSpaces>6986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2021-09-29T12:14:00Z</dcterms:created>
  <dc:creator>Alessandra</dc:creator>
  <dc:description/>
  <dc:language>en-US</dc:language>
  <cp:lastModifiedBy/>
  <dcterms:modified xsi:type="dcterms:W3CDTF">2024-11-12T12:40:50Z</dcterms:modified>
  <cp:revision>47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2021-09-29T00:00:00Z</vt:filetime>
  </property>
  <property fmtid="{D5CDD505-2E9C-101B-9397-08002B2CF9AE}" pid="3" name="LastSaved">
    <vt:filetime>2021-09-29T00:00:00Z</vt:filetime>
  </property>
</Properties>
</file>