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hanging="0" w:left="125"/>
        <w:jc w:val="center"/>
        <w:rPr>
          <w:rFonts w:eastAsia="Calibri" w:cs="Calibri"/>
          <w:b/>
          <w:color w:val="82CBD9"/>
          <w:spacing w:val="-1"/>
          <w:sz w:val="36"/>
          <w:szCs w:val="36"/>
        </w:rPr>
      </w:pPr>
      <w:r>
        <w:rPr>
          <w:rFonts w:eastAsia="Calibri" w:cs="Calibri"/>
          <w:b/>
          <w:color w:val="82CBD9"/>
          <w:spacing w:val="-1"/>
          <w:sz w:val="36"/>
          <w:szCs w:val="36"/>
        </w:rPr>
        <mc:AlternateContent>
          <mc:Choice Requires="wps">
            <w:drawing>
              <wp:anchor behindDoc="0" distT="635" distB="635" distL="1270" distR="0" simplePos="0" locked="0" layoutInCell="1" allowOverlap="1" relativeHeight="4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1455" cy="116840"/>
                <wp:effectExtent l="1270" t="635" r="0" b="63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360" cy="117000"/>
                        </a:xfrm>
                        <a:prstGeom prst="rect">
                          <a:avLst/>
                        </a:prstGeom>
                        <a:solidFill>
                          <a:srgbClr val="83cddb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83cddb" stroked="t" o:allowincell="f" style="position:absolute;margin-left:2.4pt;margin-top:4.05pt;width:516.6pt;height:9.15pt;mso-wrap-style:none;v-text-anchor:middle">
                <v:fill o:detectmouseclick="t" type="solid" color2="#7c3224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ind w:hanging="0" w:left="125"/>
        <w:jc w:val="center"/>
        <w:rPr/>
      </w:pPr>
      <w:r>
        <w:rPr>
          <w:rFonts w:eastAsia="Calibri" w:cs="Calibri"/>
          <w:b/>
          <w:color w:val="82CBD9"/>
          <w:spacing w:val="-1"/>
          <w:sz w:val="36"/>
          <w:szCs w:val="36"/>
        </w:rPr>
        <w:t>test_title</w:t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635" distB="635" distL="1270" distR="0" simplePos="0" locked="0" layoutInCell="1" allowOverlap="1" relativeHeight="5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1455" cy="116840"/>
                <wp:effectExtent l="1270" t="635" r="0" b="635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360" cy="117000"/>
                        </a:xfrm>
                        <a:prstGeom prst="rect">
                          <a:avLst/>
                        </a:prstGeom>
                        <a:solidFill>
                          <a:srgbClr val="83cddb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83cddb" stroked="t" o:allowincell="f" style="position:absolute;margin-left:2.4pt;margin-top:4.05pt;width:516.6pt;height:9.15pt;mso-wrap-style:none;v-text-anchor:middle">
                <v:fill o:detectmouseclick="t" type="solid" color2="#7c3224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lineRule="exact" w:line="349"/>
        <w:ind w:hanging="0" w:left="108"/>
        <w:rPr>
          <w:rFonts w:ascii="Arial" w:hAnsi="Arial"/>
          <w:b/>
          <w:spacing w:val="-1"/>
          <w:sz w:val="32"/>
          <w:szCs w:val="24"/>
        </w:rPr>
      </w:pPr>
      <w:r>
        <w:rPr>
          <w:rFonts w:eastAsia="Calibri" w:cs="" w:ascii="Arial" w:hAnsi="Arial" w:cstheme="minorBidi" w:eastAsiaTheme="minorHAnsi"/>
          <w:b/>
          <w:color w:val="auto"/>
          <w:spacing w:val="-1"/>
          <w:kern w:val="0"/>
          <w:sz w:val="32"/>
          <w:szCs w:val="22"/>
          <w:lang w:val="en-US" w:eastAsia="en-US" w:bidi="ar-SA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  <w:br/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7"/>
        <w:gridCol w:w="3613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72" w:after="0"/>
        <w:ind w:hanging="0" w:left="1682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br/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hanging="0" w:right="65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82CBD9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82CBD9"/>
                <w:kern w:val="0"/>
                <w:sz w:val="24"/>
                <w:szCs w:val="24"/>
                <w:lang w:val="it-IT" w:eastAsia="en-US" w:bidi="ar-SA"/>
              </w:rPr>
              <w:t>ATTIVIT</w:t>
            </w:r>
            <w:r>
              <w:rPr>
                <w:rFonts w:ascii="Arial" w:hAnsi="Arial"/>
                <w:b/>
                <w:color w:val="82CBD9"/>
                <w:spacing w:val="-1"/>
                <w:kern w:val="0"/>
                <w:sz w:val="24"/>
                <w:szCs w:val="24"/>
                <w:lang w:val="en-US" w:eastAsia="en-US" w:bidi="ar-SA"/>
              </w:rPr>
              <w:t>À SPORTIVE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82CB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&lt;testo_sport&gt;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4998085</wp:posOffset>
            </wp:positionH>
            <wp:positionV relativeFrom="paragraph">
              <wp:posOffset>132715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 w:before="11" w:after="0"/>
        <w:ind w:hanging="0" w:left="124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570230"/>
            <wp:effectExtent l="0" t="0" r="0" b="0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12" w:after="0"/>
        <w:ind w:hanging="0" w:left="108" w:right="116"/>
        <w:rPr>
          <w:rFonts w:ascii="Calibri" w:hAnsi="Calibri" w:eastAsia="Calibri" w:cs="Calibri"/>
          <w:lang w:val="it-IT"/>
        </w:rPr>
      </w:pPr>
      <w:r>
        <w:rPr>
          <w:rFonts w:eastAsia="Calibri" w:cs="Calibri"/>
          <w:lang w:val="it-IT"/>
        </w:rPr>
      </w:r>
    </w:p>
    <w:p>
      <w:pPr>
        <w:pStyle w:val="Normal"/>
        <w:spacing w:lineRule="auto" w:line="276" w:before="12" w:after="0"/>
        <w:ind w:hanging="0" w:left="108" w:right="116"/>
        <w:rPr>
          <w:rFonts w:ascii="Calibri" w:hAnsi="Calibri" w:eastAsia="Calibri" w:cs="Calibri"/>
          <w:lang w:val="it-IT"/>
        </w:rPr>
      </w:pPr>
      <w:r>
        <w:rPr>
          <w:b/>
          <w:u w:val="single" w:color="000000"/>
          <w:lang w:val="it-IT"/>
        </w:rPr>
        <w:t>N.B.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La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sintesi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sopra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riportata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non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è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una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(le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cliniche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spettano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esclusivamente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al</w:t>
      </w:r>
      <w:r>
        <w:rPr>
          <w:b/>
          <w:spacing w:val="4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Cs/>
          <w:sz w:val="18"/>
          <w:szCs w:val="18"/>
          <w:lang w:val="it-IT"/>
        </w:rPr>
      </w:pPr>
      <w:r>
        <w:rPr>
          <w:rFonts w:eastAsia="Calibri" w:cs="Calibri"/>
          <w:b/>
          <w:bCs/>
          <w:sz w:val="18"/>
          <w:szCs w:val="18"/>
          <w:lang w:val="it-IT"/>
        </w:rPr>
      </w:r>
    </w:p>
    <w:p>
      <w:pPr>
        <w:pStyle w:val="Heading1"/>
        <w:ind w:hanging="0" w:left="2000"/>
        <w:rPr>
          <w:b w:val="false"/>
          <w:bCs w:val="false"/>
          <w:color w:themeColor="accent6" w:val="F79646"/>
          <w:lang w:val="it-IT"/>
        </w:rPr>
      </w:pPr>
      <w:r>
        <w:rPr>
          <w:color w:themeColor="accent6" w:val="F79646"/>
          <w:spacing w:val="-1"/>
          <w:lang w:val="it-IT"/>
        </w:rPr>
        <w:t>PREDISPOSIZIONE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GENETICA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ALL'AUMENTO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DI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hanging="0" w:left="2130"/>
        <w:rPr>
          <w:b w:val="false"/>
          <w:bCs w:val="false"/>
          <w:color w:themeColor="accent6" w:val="F79646"/>
          <w:lang w:val="it-IT"/>
        </w:rPr>
      </w:pPr>
      <w:r>
        <w:rPr>
          <w:b w:val="false"/>
          <w:bCs w:val="false"/>
          <w:color w:themeColor="accent6" w:val="F79646"/>
          <w:lang w:val="it-IT"/>
        </w:rPr>
      </w:r>
    </w:p>
    <w:p>
      <w:pPr>
        <w:pStyle w:val="Heading1"/>
        <w:spacing w:before="0" w:after="0"/>
        <w:ind w:hanging="0" w:left="2130"/>
        <w:rPr>
          <w:b w:val="false"/>
          <w:bCs w:val="false"/>
          <w:color w:themeColor="accent6" w:val="F79646"/>
          <w:lang w:val="it-IT"/>
        </w:rPr>
      </w:pPr>
      <w:r>
        <w:rPr>
          <w:color w:themeColor="accent6" w:val="F79646"/>
          <w:spacing w:val="-1"/>
          <w:lang w:val="it-IT"/>
        </w:rPr>
        <w:t>PREDISPOSIZIONE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GENETICA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AL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DIABETE</w:t>
      </w:r>
      <w:r>
        <w:rPr>
          <w:color w:themeColor="accent6" w:val="F79646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DI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spacing w:val="-1"/>
          <w:lang w:val="it-IT"/>
        </w:rPr>
        <w:t>TIPO</w:t>
      </w:r>
      <w:r>
        <w:rPr>
          <w:color w:themeColor="accent6" w:val="F79646"/>
          <w:spacing w:val="1"/>
          <w:lang w:val="it-IT"/>
        </w:rPr>
        <w:t xml:space="preserve"> </w:t>
      </w:r>
      <w:r>
        <w:rPr>
          <w:color w:themeColor="accent6" w:val="F7964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hanging="0" w:right="119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6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</w:p>
        </w:tc>
      </w:tr>
    </w:tbl>
    <w:p>
      <w:pPr>
        <w:pStyle w:val="Normal"/>
        <w:spacing w:lineRule="atLeast" w:line="200"/>
        <w:ind w:hanging="0" w:left="125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ind w:hanging="0" w:left="1152"/>
        <w:rPr>
          <w:b w:val="false"/>
          <w:bCs w:val="false"/>
          <w:color w:themeColor="accent6" w:val="F79646"/>
        </w:rPr>
      </w:pPr>
      <w:r>
        <w:rPr>
          <w:b w:val="false"/>
          <w:bCs w:val="false"/>
          <w:color w:themeColor="accent6" w:val="F79646"/>
        </w:rPr>
      </w:r>
    </w:p>
    <w:p>
      <w:pPr>
        <w:pStyle w:val="Heading1"/>
        <w:spacing w:before="0" w:after="0"/>
        <w:ind w:hanging="0" w:left="1152"/>
        <w:rPr>
          <w:b w:val="false"/>
          <w:bCs w:val="false"/>
          <w:color w:themeColor="accent6" w:val="F79646"/>
        </w:rPr>
      </w:pPr>
      <w:r>
        <w:rPr>
          <w:color w:themeColor="accent6" w:val="F79646"/>
          <w:spacing w:val="-1"/>
        </w:rPr>
        <w:t>PREDISPOSIZIONE</w:t>
      </w:r>
      <w:r>
        <w:rPr>
          <w:color w:themeColor="accent6" w:val="F79646"/>
          <w:spacing w:val="1"/>
        </w:rPr>
        <w:t xml:space="preserve"> </w:t>
      </w:r>
      <w:r>
        <w:rPr>
          <w:color w:themeColor="accent6" w:val="F79646"/>
          <w:spacing w:val="-1"/>
        </w:rPr>
        <w:t>GENETICA</w:t>
      </w:r>
      <w:r>
        <w:rPr>
          <w:color w:themeColor="accent6" w:val="F79646"/>
          <w:spacing w:val="1"/>
        </w:rPr>
        <w:t xml:space="preserve"> </w:t>
      </w:r>
      <w:r>
        <w:rPr>
          <w:color w:themeColor="accent6" w:val="F79646"/>
          <w:spacing w:val="-1"/>
        </w:rPr>
        <w:t>ALLE</w:t>
      </w:r>
      <w:r>
        <w:rPr>
          <w:color w:themeColor="accent6" w:val="F79646"/>
          <w:spacing w:val="1"/>
        </w:rPr>
        <w:t xml:space="preserve"> </w:t>
      </w:r>
      <w:r>
        <w:rPr>
          <w:color w:themeColor="accent6" w:val="F79646"/>
          <w:spacing w:val="-1"/>
        </w:rPr>
        <w:t>PATOLOGIE</w:t>
      </w:r>
      <w:r>
        <w:rPr>
          <w:color w:themeColor="accent6" w:val="F79646"/>
          <w:spacing w:val="2"/>
        </w:rPr>
        <w:t xml:space="preserve"> </w:t>
      </w:r>
      <w:r>
        <w:rPr>
          <w:color w:themeColor="accent6" w:val="F7964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1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</w:p>
        </w:tc>
      </w:tr>
    </w:tbl>
    <w:p>
      <w:pPr>
        <w:pStyle w:val="Normal"/>
        <w:spacing w:lineRule="atLeast" w:line="200"/>
        <w:ind w:hanging="0" w:left="125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1"/>
        <w:gridCol w:w="2272"/>
        <w:gridCol w:w="3860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53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6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7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6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526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0"/>
        <w:gridCol w:w="2612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8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ind w:hanging="0" w:left="2147"/>
        <w:rPr>
          <w:b w:val="false"/>
          <w:bCs w:val="false"/>
          <w:color w:val="92D050"/>
        </w:rPr>
      </w:pPr>
      <w:r>
        <w:rPr>
          <w:b w:val="false"/>
          <w:bCs w:val="false"/>
          <w:color w:val="92D050"/>
        </w:rPr>
      </w:r>
    </w:p>
    <w:p>
      <w:pPr>
        <w:pStyle w:val="Heading1"/>
        <w:spacing w:before="0" w:after="0"/>
        <w:ind w:hanging="0" w:left="2147"/>
        <w:rPr>
          <w:b w:val="false"/>
          <w:bCs w:val="false"/>
          <w:color w:val="92D050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rPr>
          <w:b w:val="false"/>
          <w:bCs w:val="false"/>
          <w:spacing w:val="-8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testo_intolleranze_lungo</w:t>
      </w:r>
    </w:p>
    <w:p>
      <w:pPr>
        <w:pStyle w:val="Heading2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Heading2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Normal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4"/>
        <w:gridCol w:w="2427"/>
        <w:gridCol w:w="2352"/>
        <w:gridCol w:w="1344"/>
        <w:gridCol w:w="2433"/>
      </w:tblGrid>
      <w:tr>
        <w:trPr>
          <w:trHeight w:val="454" w:hRule="atLeast"/>
        </w:trPr>
        <w:tc>
          <w:tcPr>
            <w:tcW w:w="179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3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  <w:r>
        <w:br w:type="page"/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INFLUENZA</w:t>
      </w:r>
      <w:r>
        <w:rPr>
          <w:rFonts w:ascii="Arial" w:hAnsi="Arial"/>
          <w:b/>
          <w:color w:val="E32C5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GENETICA NELL'ASSORBIMENTO </w:t>
        <w:br/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24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NEL METABOLISMO DI MINERALI </w:t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 VITAMINE</w:t>
      </w:r>
    </w:p>
    <w:p>
      <w:pPr>
        <w:pStyle w:val="Normal"/>
        <w:spacing w:lineRule="auto" w:line="276" w:before="69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BodyText"/>
        <w:spacing w:before="2" w:after="0"/>
        <w:ind w:hanging="0" w:left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vitamine</w:t>
      </w:r>
      <w:r>
        <w:rPr>
          <w:b/>
          <w:spacing w:val="-5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-5"/>
          <w:lang w:val="it-IT"/>
        </w:rPr>
        <w:t xml:space="preserve"> </w:t>
      </w:r>
      <w:r>
        <w:rPr>
          <w:spacing w:val="-2"/>
          <w:lang w:val="it-IT"/>
        </w:rPr>
        <w:t>salute.</w:t>
      </w:r>
    </w:p>
    <w:p>
      <w:pPr>
        <w:pStyle w:val="Normal"/>
        <w:spacing w:before="2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organismo;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9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35"/>
          <w:w w:val="99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36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numerosi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fattori</w:t>
      </w:r>
      <w:r>
        <w:rPr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questi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vitamine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1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cibo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normale.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Tuttavia,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essere leggermente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difficile nel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caso in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capitolo,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riveleremo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lang w:val="it-IT"/>
        </w:rPr>
        <w:t>B9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8"/>
          <w:lang w:val="it-IT"/>
        </w:rPr>
        <w:t xml:space="preserve"> </w:t>
      </w:r>
      <w:r>
        <w:rPr>
          <w:b/>
          <w:lang w:val="it-IT"/>
        </w:rPr>
        <w:t>D</w:t>
      </w:r>
      <w:r>
        <w:rPr>
          <w:lang w:val="it-IT"/>
        </w:rPr>
        <w:t>,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B12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b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influenzati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geni.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testo_assorbimento_lungo</w:t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1434"/>
        <w:gridCol w:w="2180"/>
        <w:gridCol w:w="1349"/>
        <w:gridCol w:w="3107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96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10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43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8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4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10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tbl>
      <w:tblPr>
        <w:tblStyle w:val="Grigliatabella"/>
        <w:tblW w:w="10440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0"/>
        <w:gridCol w:w="2526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7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2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sz w:val="17"/>
          <w:szCs w:val="17"/>
        </w:rPr>
      </w:pPr>
      <w:r>
        <w:rPr>
          <w:rFonts w:eastAsia="Arial" w:cs="Arial" w:ascii="Arial" w:hAnsi="Arial"/>
          <w:b/>
          <w:bCs/>
          <w:sz w:val="17"/>
          <w:szCs w:val="17"/>
        </w:rPr>
      </w:r>
    </w:p>
    <w:p>
      <w:pPr>
        <w:pStyle w:val="Normal"/>
        <w:spacing w:before="69" w:after="0"/>
        <w:ind w:hanging="0" w:left="2618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SCOPRI L'ALLENAMENTO PIÙ ADATTO </w:t>
      </w:r>
      <w:r>
        <w:rPr>
          <w:rFonts w:ascii="Arial" w:hAnsi="Arial"/>
          <w:b/>
          <w:color w:val="82CBD9"/>
          <w:sz w:val="24"/>
          <w:lang w:val="it-IT"/>
        </w:rPr>
        <w:t>A</w:t>
      </w:r>
      <w:r>
        <w:rPr>
          <w:rFonts w:ascii="Arial" w:hAnsi="Arial"/>
          <w:b/>
          <w:color w:val="82CBD9"/>
          <w:spacing w:val="-1"/>
          <w:sz w:val="24"/>
          <w:lang w:val="it-IT"/>
        </w:rPr>
        <w:t xml:space="preserve"> TE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In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capitolo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29"/>
          <w:lang w:val="it-IT"/>
        </w:rPr>
        <w:t xml:space="preserve"> </w:t>
      </w:r>
      <w:r>
        <w:rPr>
          <w:spacing w:val="-1"/>
          <w:lang w:val="it-IT"/>
        </w:rPr>
        <w:t>sveleremo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puoi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bravo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2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struttura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muscolare.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Imparerai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fino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punto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sei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incline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lesioni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tessuti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molli.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L'attività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fisica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influisce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generalmente</w:t>
      </w:r>
      <w:r>
        <w:rPr>
          <w:spacing w:val="20"/>
          <w:w w:val="99"/>
          <w:lang w:val="it-IT"/>
        </w:rPr>
        <w:t xml:space="preserve"> </w:t>
      </w:r>
      <w:r>
        <w:rPr>
          <w:spacing w:val="-1"/>
          <w:lang w:val="it-IT"/>
        </w:rPr>
        <w:t>positivamente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2"/>
          <w:lang w:val="it-IT"/>
        </w:rPr>
        <w:t>salute,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ma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alcune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attività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sportive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vantaggiose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alcuni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altri.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38"/>
          <w:w w:val="99"/>
          <w:lang w:val="it-IT"/>
        </w:rPr>
        <w:t xml:space="preserve"> </w:t>
      </w:r>
      <w:r>
        <w:rPr>
          <w:spacing w:val="-1"/>
          <w:lang w:val="it-IT"/>
        </w:rPr>
        <w:t>esempio, la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genetica ha una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grande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influenza su alcune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componenti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dell'atletica come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3"/>
          <w:lang w:val="it-IT"/>
        </w:rPr>
        <w:t xml:space="preserve"> </w:t>
      </w:r>
      <w:r>
        <w:rPr>
          <w:b/>
          <w:spacing w:val="-1"/>
          <w:lang w:val="it-IT"/>
        </w:rPr>
        <w:t>potenza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4"/>
          <w:lang w:val="it-IT"/>
        </w:rPr>
        <w:t xml:space="preserve"> </w:t>
      </w:r>
      <w:r>
        <w:rPr>
          <w:b/>
          <w:spacing w:val="-1"/>
          <w:lang w:val="it-IT"/>
        </w:rPr>
        <w:t>resistenza</w:t>
      </w:r>
      <w:r>
        <w:rPr>
          <w:spacing w:val="-1"/>
          <w:lang w:val="it-IT"/>
        </w:rPr>
        <w:t>,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4"/>
          <w:w w:val="99"/>
          <w:lang w:val="it-IT"/>
        </w:rPr>
        <w:t xml:space="preserve"> </w:t>
      </w:r>
      <w:r>
        <w:rPr>
          <w:spacing w:val="-2"/>
          <w:lang w:val="it-IT"/>
        </w:rPr>
        <w:t>dimensione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composizione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fibre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muscolari,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flessibilità,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coordinazione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neuromuscolare,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fenotipi.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rFonts w:cs="Arial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testo_sport_lungo</w:t>
      </w:r>
    </w:p>
    <w:p>
      <w:pPr>
        <w:pStyle w:val="Heading2"/>
        <w:jc w:val="both"/>
        <w:rPr>
          <w:rFonts w:cs="Arial"/>
          <w:b w:val="false"/>
          <w:bCs w:val="false"/>
          <w:lang w:val="it-IT"/>
        </w:rPr>
      </w:pPr>
      <w:r>
        <w:rPr>
          <w:rFonts w:cs="Arial"/>
          <w:b w:val="false"/>
          <w:bCs w:val="false"/>
          <w:lang w:val="it-IT"/>
        </w:rPr>
      </w:r>
    </w:p>
    <w:p>
      <w:pPr>
        <w:pStyle w:val="Heading2"/>
        <w:jc w:val="both"/>
        <w:rPr>
          <w:rFonts w:cs="Arial"/>
          <w:b w:val="false"/>
          <w:bCs w:val="false"/>
          <w:sz w:val="19"/>
          <w:szCs w:val="19"/>
          <w:lang w:val="it-IT"/>
        </w:rPr>
      </w:pPr>
      <w:r>
        <w:rPr>
          <w:rFonts w:cs="Arial"/>
          <w:b w:val="false"/>
          <w:bCs w:val="false"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5"/>
        <w:gridCol w:w="3164"/>
        <w:gridCol w:w="1351"/>
        <w:gridCol w:w="2425"/>
        <w:gridCol w:w="1773"/>
      </w:tblGrid>
      <w:tr>
        <w:trPr>
          <w:trHeight w:val="454" w:hRule="atLeast"/>
        </w:trPr>
        <w:tc>
          <w:tcPr>
            <w:tcW w:w="169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3164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FENOTIPO ASSOCIATO</w:t>
            </w:r>
          </w:p>
        </w:tc>
        <w:tc>
          <w:tcPr>
            <w:tcW w:w="554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95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3164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42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77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8" w:after="0"/>
        <w:rPr>
          <w:rFonts w:ascii="Times New Roman" w:hAnsi="Times New Roman" w:eastAsia="Times New Roman" w:cs="Times New Roman"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sz w:val="20"/>
          <w:szCs w:val="20"/>
          <w:lang w:val="it-IT"/>
        </w:rPr>
      </w:r>
      <w:r>
        <w:br w:type="page"/>
      </w:r>
    </w:p>
    <w:p>
      <w:pPr>
        <w:pStyle w:val="Normal"/>
        <w:spacing w:before="0" w:after="0"/>
        <w:rPr>
          <w:rFonts w:ascii="Calibri" w:hAnsi="Calibri"/>
          <w:b/>
          <w:color w:val="7F7F7F"/>
          <w:spacing w:val="-1"/>
          <w:sz w:val="28"/>
          <w:u w:val="single" w:color="7F7F7F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5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ESSENZIALI</w:t>
      </w:r>
      <w:r>
        <w:rPr>
          <w:b/>
          <w:color w:val="7F7F7F"/>
          <w:spacing w:val="-4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5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COMPLETAMENTO</w:t>
      </w:r>
      <w:r>
        <w:rPr>
          <w:b/>
          <w:color w:val="7F7F7F"/>
          <w:spacing w:val="-5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4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  <w:br/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>
          <w:spacing w:val="-1"/>
          <w:lang w:val="it-IT"/>
        </w:rPr>
        <w:t xml:space="preserve">Il test si concentra esclusivamente sulle variazioni genetiche la cui correlazione con l'insorgenza di patologie complesse (come obesità, diabete di tipo 2 e malattie cardiovascolari) è supportata da un'ampia letteratura scientifica. Questo test rappresenta un utile strumento per il tuo benessere, ma </w:t>
      </w:r>
      <w:r>
        <w:rPr>
          <w:b/>
          <w:bCs/>
          <w:spacing w:val="-1"/>
          <w:lang w:val="it-IT"/>
        </w:rPr>
        <w:t>non costituisce una diagnosi clinica e non sostituisce il parere del medico</w:t>
      </w:r>
      <w:r>
        <w:rPr>
          <w:spacing w:val="-1"/>
          <w:lang w:val="it-IT"/>
        </w:rPr>
        <w:t xml:space="preserve">. I risultati devono essere valutati ed approvati alla luce della storia anamnestica personale su </w:t>
      </w:r>
      <w:r>
        <w:rPr>
          <w:b/>
          <w:bCs/>
          <w:spacing w:val="-1"/>
          <w:lang w:val="it-IT"/>
        </w:rPr>
        <w:t>verifica del medico curante</w:t>
      </w:r>
      <w:r>
        <w:rPr>
          <w:spacing w:val="-1"/>
          <w:lang w:val="it-IT"/>
        </w:rPr>
        <w:t>.</w:t>
      </w:r>
    </w:p>
    <w:p>
      <w:pPr>
        <w:pStyle w:val="Normal"/>
        <w:spacing w:before="2" w:after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ind w:hanging="0" w:left="0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4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2" w:after="0"/>
        <w:rPr>
          <w:rFonts w:ascii="Arial" w:hAnsi="Arial" w:eastAsia="Arial" w:cs="Arial"/>
          <w:b/>
          <w:bCs/>
          <w:sz w:val="13"/>
          <w:szCs w:val="13"/>
          <w:lang w:val="it-IT"/>
        </w:rPr>
      </w:pPr>
      <w:r>
        <w:rPr>
          <w:rFonts w:eastAsia="Arial" w:cs="Arial" w:ascii="Arial" w:hAnsi="Arial"/>
          <w:b/>
          <w:bCs/>
          <w:sz w:val="13"/>
          <w:szCs w:val="13"/>
          <w:lang w:val="it-IT"/>
        </w:rPr>
      </w:r>
    </w:p>
    <w:p>
      <w:pPr>
        <w:pStyle w:val="Normal"/>
        <w:spacing w:before="80" w:after="0"/>
        <w:rPr>
          <w:rFonts w:ascii="Times New Roman" w:hAnsi="Times New Roman" w:eastAsia="Times New Roman" w:cs="Times New Roman"/>
          <w:b/>
          <w:bCs/>
          <w:i/>
          <w:i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before="3" w:after="0"/>
        <w:rPr>
          <w:rFonts w:ascii="Times New Roman" w:hAnsi="Times New Roman" w:eastAsia="Times New Roman" w:cs="Times New Roman"/>
          <w:b/>
          <w:bCs/>
          <w:i/>
          <w:i/>
          <w:sz w:val="13"/>
          <w:szCs w:val="13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13"/>
          <w:szCs w:val="13"/>
          <w:lang w:val="it-IT"/>
        </w:rPr>
      </w:r>
    </w:p>
    <w:p>
      <w:pPr>
        <w:pStyle w:val="Normal"/>
        <w:spacing w:lineRule="auto" w:line="240"/>
        <w:ind w:hanging="0" w:right="423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4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5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right="270"/>
        <w:rPr/>
      </w:pPr>
      <w:r>
        <w:rPr>
          <w:rFonts w:ascii="Times New Roman" w:hAnsi="Times New Roman"/>
          <w:spacing w:val="-1"/>
          <w:sz w:val="16"/>
        </w:rPr>
        <w:t>Dana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Simona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Chita,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Anca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Tudor,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Ruxandra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Christodorescu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al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Prevalence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Factors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Involved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8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Cardioembolic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Stroke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Severity. </w:t>
      </w:r>
      <w:r>
        <w:rPr>
          <w:rFonts w:ascii="Times New Roman" w:hAnsi="Times New Roman"/>
          <w:spacing w:val="-1"/>
          <w:sz w:val="16"/>
        </w:rPr>
        <w:t>Brain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Sci.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2020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10(8):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ascii="Times New Roman" w:hAnsi="Times New Roman"/>
          <w:spacing w:val="-1"/>
          <w:sz w:val="16"/>
        </w:rPr>
        <w:t>Chun-Jian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Qiu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Xiao-Zheng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Ye,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Xiao-Juan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Yu,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Xiao-Ren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Peng,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Tong-Huan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between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FABP2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Ala54Thr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</w:t>
      </w:r>
      <w:r>
        <w:rPr>
          <w:rFonts w:ascii="Times New Roman" w:hAnsi="Times New Roman"/>
          <w:i/>
          <w:spacing w:val="4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mellitus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HuGE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Review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Meta-Analysis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Cell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Med.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2014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Dec;18(12):2530-5.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ascii="Times New Roman" w:hAnsi="Times New Roman"/>
          <w:spacing w:val="-1"/>
          <w:sz w:val="16"/>
        </w:rPr>
        <w:t>Dayana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Rodrigues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Farias,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Nadya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Helena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Alves-Santos,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Ilana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Eshriqui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-2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Leptin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(rs7799039;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G2548A)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changes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lipid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during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pregnancy: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prospective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cohort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z w:val="16"/>
        </w:rPr>
        <w:t>Eur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Nutr.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Aug;59(5):1999-2009.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right="270"/>
        <w:rPr/>
      </w:pPr>
      <w:r>
        <w:rPr>
          <w:rFonts w:ascii="Times New Roman" w:hAnsi="Times New Roman"/>
          <w:spacing w:val="-1"/>
          <w:sz w:val="16"/>
        </w:rPr>
        <w:t>Crider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(2011).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677C-&gt;T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genotype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folate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homocysteine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large,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population-based,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double-blind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trial</w:t>
      </w:r>
      <w:r>
        <w:rPr>
          <w:rFonts w:ascii="Times New Roman" w:hAnsi="Times New Roman"/>
          <w:i/>
          <w:spacing w:val="3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folic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supplementation.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Am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Clin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Nutr.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93(6):1365-1372.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3"/>
          <w:szCs w:val="13"/>
        </w:rPr>
      </w:pPr>
      <w:r>
        <w:rPr>
          <w:rFonts w:eastAsia="Times New Roman" w:cs="Times New Roman" w:ascii="Times New Roman" w:hAnsi="Times New Roman"/>
          <w:sz w:val="13"/>
          <w:szCs w:val="13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ascii="Times New Roman" w:hAnsi="Times New Roman"/>
          <w:spacing w:val="-1"/>
          <w:sz w:val="16"/>
        </w:rPr>
        <w:t>Chibo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Liu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Sihua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Mou,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Chunqin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FTO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rs9939609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predicts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disease: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systematic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review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meta-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analysis.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z w:val="16"/>
        </w:rPr>
        <w:t>PLoS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One.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2013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Aug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19;8(8):e71901.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rPr/>
      </w:pPr>
      <w:r>
        <w:rPr>
          <w:rFonts w:ascii="Times New Roman" w:hAnsi="Times New Roman"/>
          <w:spacing w:val="-1"/>
          <w:sz w:val="16"/>
        </w:rPr>
        <w:t>Warodomwichit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ADIPOQ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polymorphisms,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monounsaturated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fatty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obesity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GOLDN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study. </w:t>
      </w:r>
      <w:r>
        <w:rPr>
          <w:rFonts w:ascii="Times New Roman" w:hAnsi="Times New Roman"/>
          <w:spacing w:val="-1"/>
          <w:sz w:val="16"/>
        </w:rPr>
        <w:t>Obesity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17(3):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510-517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ascii="Times New Roman" w:hAnsi="Times New Roman"/>
          <w:spacing w:val="-1"/>
          <w:sz w:val="16"/>
        </w:rPr>
        <w:t>Hivert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</w:rPr>
        <w:t>Common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(ADIPOQ)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plasma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diabetes-related</w:t>
      </w:r>
      <w:r>
        <w:rPr>
          <w:rFonts w:ascii="Times New Roman" w:hAnsi="Times New Roman"/>
          <w:i/>
          <w:spacing w:val="7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quantitative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traits: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Framingham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Offspring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Diabetes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57(12):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3353-3359</w:t>
      </w:r>
    </w:p>
    <w:p>
      <w:pPr>
        <w:pStyle w:val="Normal"/>
        <w:spacing w:lineRule="auto" w:line="240"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rPr/>
      </w:pPr>
      <w:r>
        <w:rPr>
          <w:rFonts w:ascii="Times New Roman" w:hAnsi="Times New Roman"/>
          <w:color w:val="202020"/>
          <w:spacing w:val="-1"/>
          <w:sz w:val="16"/>
        </w:rPr>
        <w:t>Mahley</w:t>
      </w:r>
      <w:r>
        <w:rPr>
          <w:rFonts w:ascii="Times New Roman" w:hAnsi="Times New Roman"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RW.</w:t>
      </w:r>
      <w:r>
        <w:rPr>
          <w:rFonts w:ascii="Times New Roman" w:hAnsi="Times New Roman"/>
          <w:color w:val="202020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disorders.</w:t>
      </w:r>
      <w:r>
        <w:rPr>
          <w:rFonts w:ascii="Times New Roman" w:hAnsi="Times New Roman"/>
          <w:i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J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Mol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Med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(Berl).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2016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Jul;94(7):739-46.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ascii="Times New Roman" w:hAnsi="Times New Roman"/>
          <w:color w:val="202020"/>
          <w:spacing w:val="-1"/>
          <w:sz w:val="16"/>
        </w:rPr>
        <w:t>Iwai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C,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Akita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K,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Shiga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N,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Matsuda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Takai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E,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Shimizu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Kajiya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Hayashi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M.</w:t>
      </w:r>
      <w:r>
        <w:rPr>
          <w:rFonts w:ascii="Times New Roman" w:hAnsi="Times New Roman"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</w:rPr>
        <w:t>Am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Heart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J.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2003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right="171"/>
        <w:rPr/>
      </w:pPr>
      <w:r>
        <w:rPr>
          <w:rFonts w:ascii="Times New Roman" w:hAnsi="Times New Roman"/>
          <w:spacing w:val="-1"/>
          <w:sz w:val="16"/>
        </w:rPr>
        <w:t>Willer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Six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new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loci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mass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index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highlight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neuronal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influence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weight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regulation.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41(1):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25-34</w:t>
      </w:r>
      <w:r>
        <w:rPr>
          <w:rFonts w:ascii="Times New Roman" w:hAnsi="Times New Roman"/>
          <w:spacing w:val="50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Benyamin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TF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HFE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explain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approximately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40%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genetic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variation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serum-transferrin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levels.</w:t>
      </w:r>
      <w:r>
        <w:rPr>
          <w:rFonts w:ascii="Times New Roman" w:hAnsi="Times New Roman"/>
          <w:i/>
          <w:spacing w:val="2"/>
          <w:sz w:val="16"/>
        </w:rPr>
        <w:t xml:space="preserve"> </w:t>
      </w:r>
      <w:r>
        <w:rPr>
          <w:rFonts w:ascii="Times New Roman" w:hAnsi="Times New Roman"/>
          <w:sz w:val="16"/>
        </w:rPr>
        <w:t>Am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Hum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84(1):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60-65</w:t>
      </w:r>
    </w:p>
    <w:p>
      <w:pPr>
        <w:pStyle w:val="Normal"/>
        <w:spacing w:lineRule="auto" w:line="240"/>
        <w:ind w:hanging="0" w:right="171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39" w:after="0"/>
        <w:ind w:hanging="0" w:right="270"/>
        <w:rPr/>
      </w:pPr>
      <w:r>
        <w:rPr>
          <w:rFonts w:ascii="Times New Roman" w:hAnsi="Times New Roman"/>
          <w:spacing w:val="-1"/>
          <w:sz w:val="16"/>
        </w:rPr>
        <w:t>Keen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(1999).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collagen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(COL1A1)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locus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reduced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mineral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density,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increased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fracture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increased</w:t>
      </w:r>
      <w:r>
        <w:rPr>
          <w:rFonts w:ascii="Times New Roman" w:hAnsi="Times New Roman"/>
          <w:i/>
          <w:spacing w:val="11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collagen</w:t>
      </w:r>
      <w:r>
        <w:rPr>
          <w:rFonts w:ascii="Times New Roman" w:hAnsi="Times New Roman"/>
          <w:i/>
          <w:spacing w:val="11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turnover.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Arthritis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Rheum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42(2):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285-290</w:t>
      </w:r>
    </w:p>
    <w:p>
      <w:pPr>
        <w:pStyle w:val="Normal"/>
        <w:spacing w:lineRule="auto" w:line="240" w:before="39" w:after="0"/>
        <w:ind w:hanging="0" w:right="27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before="7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2"/>
        <w:gridCol w:w="2210"/>
        <w:gridCol w:w="1847"/>
        <w:gridCol w:w="2318"/>
        <w:gridCol w:w="2512"/>
      </w:tblGrid>
      <w:tr>
        <w:trPr>
          <w:trHeight w:val="1262" w:hRule="exact"/>
        </w:trPr>
        <w:tc>
          <w:tcPr>
            <w:tcW w:w="12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10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7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both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hanging="0" w:right="592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  <w:bookmarkStart w:id="0" w:name="_Hlk83980272"/>
            <w:bookmarkEnd w:id="0"/>
          </w:p>
        </w:tc>
      </w:tr>
    </w:tbl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8" w:footer="297" w:bottom="93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N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hanging="0" w:left="108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6f7d9e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6f7d9e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603722"/>
    <w:rPr/>
  </w:style>
  <w:style w:type="character" w:styleId="PidipaginaCarattere" w:customStyle="1">
    <w:name w:val="Piè di pagina Carattere"/>
    <w:basedOn w:val="DefaultParagraphFont"/>
    <w:uiPriority w:val="99"/>
    <w:qFormat/>
    <w:rsid w:val="00603722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c22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LibreOffice/24.2.5.2$Linux_X86_64 LibreOffice_project/420$Build-2</Application>
  <AppVersion>15.0000</AppVersion>
  <Pages>8</Pages>
  <Words>1336</Words>
  <Characters>8230</Characters>
  <CharactersWithSpaces>9430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2021-09-29T12:14:00Z</dcterms:created>
  <dc:creator>Alessandra</dc:creator>
  <dc:description/>
  <dc:language>en-US</dc:language>
  <cp:lastModifiedBy/>
  <dcterms:modified xsi:type="dcterms:W3CDTF">2024-11-12T12:40:16Z</dcterms:modified>
  <cp:revision>28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2021-09-29T00:00:00Z</vt:filetime>
  </property>
  <property fmtid="{D5CDD505-2E9C-101B-9397-08002B2CF9AE}" pid="3" name="LastSaved">
    <vt:filetime>2021-09-29T00:00:00Z</vt:filetime>
  </property>
</Properties>
</file>