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" w:after="0"/>
        <w:rPr>
          <w:rFonts w:ascii="Times New Roman" w:hAnsi="Times New Roman" w:eastAsia="Times New Roman" w:cs="Times New Roman"/>
          <w:sz w:val="25"/>
          <w:szCs w:val="25"/>
        </w:rPr>
      </w:pPr>
      <w:r>
        <w:rPr>
          <w:rFonts w:eastAsia="Times New Roman" w:cs="Times New Roman" w:ascii="Times New Roman" w:hAnsi="Times New Roman"/>
          <w:sz w:val="25"/>
          <w:szCs w:val="25"/>
        </w:rPr>
        <mc:AlternateContent>
          <mc:Choice Requires="wps">
            <w:drawing>
              <wp:anchor behindDoc="0" distT="635" distB="635" distL="1270" distR="0" simplePos="0" locked="0" layoutInCell="1" allowOverlap="1" relativeHeight="3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58915" cy="114300"/>
                <wp:effectExtent l="1270" t="635" r="0" b="635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8840" cy="114480"/>
                        </a:xfrm>
                        <a:prstGeom prst="rect">
                          <a:avLst/>
                        </a:prstGeom>
                        <a:solidFill>
                          <a:srgbClr val="e32c56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e32c56" stroked="t" o:allowincell="f" style="position:absolute;margin-left:2.4pt;margin-top:4.05pt;width:516.4pt;height:8.95pt;mso-wrap-style:none;v-text-anchor:middle">
                <v:fill o:detectmouseclick="t" type="solid" color2="#1cd3a9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9" w:after="0"/>
        <w:rPr>
          <w:rFonts w:ascii="Times New Roman" w:hAnsi="Times New Roman" w:eastAsia="Times New Roman" w:cs="Times New Roman"/>
          <w:sz w:val="14"/>
          <w:szCs w:val="14"/>
        </w:rPr>
      </w:pPr>
      <w:r>
        <w:rPr>
          <w:rFonts w:eastAsia="Times New Roman" w:cs="Times New Roman" w:ascii="Times New Roman" w:hAnsi="Times New Roman"/>
          <w:sz w:val="14"/>
          <w:szCs w:val="14"/>
        </w:rPr>
      </w:r>
    </w:p>
    <w:p>
      <w:pPr>
        <w:pStyle w:val="Normal"/>
        <w:widowControl w:val="false"/>
        <w:suppressAutoHyphens w:val="true"/>
        <w:bidi w:val="0"/>
        <w:spacing w:before="27" w:after="0"/>
        <w:ind w:hanging="0" w:left="3509" w:right="3329"/>
        <w:jc w:val="center"/>
        <w:rPr>
          <w:rFonts w:ascii="Calibri" w:hAnsi="Calibri" w:eastAsia="Calibri" w:cs="Calibri"/>
          <w:sz w:val="36"/>
          <w:szCs w:val="36"/>
        </w:rPr>
      </w:pPr>
      <w:r>
        <w:rPr>
          <w:b/>
          <w:color w:val="E32C56"/>
          <w:spacing w:val="-1"/>
          <w:sz w:val="36"/>
        </w:rPr>
        <w:t>test_title</w:t>
      </w:r>
    </w:p>
    <w:p>
      <w:pPr>
        <w:pStyle w:val="Normal"/>
        <w:spacing w:before="4" w:after="0"/>
        <w:rPr>
          <w:rFonts w:ascii="Calibri" w:hAnsi="Calibri" w:eastAsia="Calibri" w:cs="Calibri"/>
          <w:b/>
          <w:bCs/>
          <w:sz w:val="16"/>
          <w:szCs w:val="16"/>
        </w:rPr>
      </w:pPr>
      <w:r>
        <w:rPr>
          <w:rFonts w:eastAsia="Calibri" w:cs="Calibri"/>
          <w:b/>
          <w:bCs/>
          <w:sz w:val="16"/>
          <w:szCs w:val="16"/>
        </w:rPr>
      </w:r>
    </w:p>
    <w:p>
      <w:pPr>
        <w:pStyle w:val="Normal"/>
        <w:spacing w:lineRule="atLeast" w:line="190"/>
        <w:ind w:hanging="0" w:left="124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635" distB="635" distL="1270" distR="0" simplePos="0" locked="0" layoutInCell="1" allowOverlap="1" relativeHeight="4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58915" cy="114300"/>
                <wp:effectExtent l="1270" t="635" r="0" b="635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8840" cy="114480"/>
                        </a:xfrm>
                        <a:prstGeom prst="rect">
                          <a:avLst/>
                        </a:prstGeom>
                        <a:solidFill>
                          <a:srgbClr val="e32c56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e32c56" stroked="t" o:allowincell="f" style="position:absolute;margin-left:2.4pt;margin-top:4.05pt;width:516.4pt;height:8.95pt;mso-wrap-style:none;v-text-anchor:middle">
                <v:fill o:detectmouseclick="t" type="solid" color2="#1cd3a9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9" w:after="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"/>
        <w:spacing w:before="58" w:after="0"/>
        <w:ind w:hanging="0" w:left="108"/>
        <w:rPr>
          <w:rFonts w:ascii="Arial" w:hAnsi="Arial"/>
          <w:b/>
          <w:spacing w:val="-1"/>
          <w:sz w:val="28"/>
        </w:rPr>
      </w:pPr>
      <w:r>
        <w:rPr>
          <w:rFonts w:eastAsia="Calibri" w:cs="" w:ascii="Arial" w:hAnsi="Arial" w:cstheme="minorBidi" w:eastAsiaTheme="minorHAnsi"/>
          <w:b/>
          <w:color w:val="auto"/>
          <w:spacing w:val="-1"/>
          <w:kern w:val="0"/>
          <w:sz w:val="32"/>
          <w:szCs w:val="22"/>
          <w:lang w:val="en-US" w:eastAsia="en-US" w:bidi="ar-SA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</w:r>
    </w:p>
    <w:p>
      <w:pPr>
        <w:pStyle w:val="Normal"/>
        <w:spacing w:before="58" w:after="0"/>
        <w:ind w:hanging="0" w:left="108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237"/>
        <w:gridCol w:w="3613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23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61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b/>
          <w:bCs/>
          <w:sz w:val="15"/>
          <w:szCs w:val="15"/>
          <w:lang w:val="it-IT"/>
        </w:rPr>
      </w:pPr>
      <w:r>
        <w:rPr>
          <w:rFonts w:eastAsia="Arial" w:cs="Arial" w:ascii="Arial" w:hAnsi="Arial"/>
          <w:b/>
          <w:bCs/>
          <w:sz w:val="15"/>
          <w:szCs w:val="15"/>
          <w:lang w:val="it-IT"/>
        </w:rPr>
      </w:r>
    </w:p>
    <w:p>
      <w:pPr>
        <w:pStyle w:val="Normal"/>
        <w:spacing w:before="72" w:after="0"/>
        <w:ind w:hanging="0" w:left="1709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hanging="0" w:right="65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25"/>
          <w:szCs w:val="25"/>
          <w:lang w:val="it-IT"/>
        </w:rPr>
      </w:pPr>
      <w:r>
        <w:rPr>
          <w:rFonts w:eastAsia="Arial" w:cs="Arial" w:ascii="Arial" w:hAnsi="Arial"/>
          <w:sz w:val="25"/>
          <w:szCs w:val="25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F49D16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25"/>
          <w:szCs w:val="25"/>
          <w:lang w:val="it-IT"/>
        </w:rPr>
      </w:pPr>
      <w:r>
        <w:rPr>
          <w:rFonts w:eastAsia="Arial" w:cs="Arial" w:ascii="Arial" w:hAnsi="Arial"/>
          <w:sz w:val="25"/>
          <w:szCs w:val="25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CF50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CC2A58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C2A58"/>
                <w:kern w:val="0"/>
                <w:sz w:val="24"/>
                <w:szCs w:val="24"/>
                <w:lang w:val="it-IT" w:eastAsia="en-US" w:bidi="ar-SA"/>
              </w:rPr>
              <w:t>ASSORBIMENTO E METABOLISMO DI MINERALI E VITAMINE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C2A58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&lt;testo_assorbimento&gt;</w:t>
            </w:r>
          </w:p>
        </w:tc>
      </w:tr>
    </w:tbl>
    <w:p>
      <w:pPr>
        <w:pStyle w:val="BodyText"/>
        <w:tabs>
          <w:tab w:val="clear" w:pos="720"/>
          <w:tab w:val="left" w:pos="5274" w:leader="none"/>
        </w:tabs>
        <w:spacing w:lineRule="atLeast" w:line="200"/>
        <w:ind w:hanging="0" w:left="390"/>
        <w:rPr>
          <w:rFonts w:cs="Arial"/>
        </w:rPr>
      </w:pPr>
      <w:r>
        <w:rPr>
          <w:position w:val="20"/>
        </w:rPr>
        <w:tab/>
      </w:r>
    </w:p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4998085</wp:posOffset>
            </wp:positionH>
            <wp:positionV relativeFrom="paragraph">
              <wp:posOffset>132715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1431925" cy="607060"/>
            <wp:effectExtent l="0" t="0" r="0" b="0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" w:after="0"/>
        <w:rPr>
          <w:rFonts w:ascii="Arial" w:hAnsi="Arial" w:eastAsia="Arial" w:cs="Arial"/>
          <w:sz w:val="27"/>
          <w:szCs w:val="27"/>
        </w:rPr>
      </w:pPr>
      <w:r>
        <w:rPr>
          <w:rFonts w:eastAsia="Arial" w:cs="Arial" w:ascii="Arial" w:hAnsi="Arial"/>
          <w:sz w:val="27"/>
          <w:szCs w:val="27"/>
        </w:rPr>
      </w:r>
    </w:p>
    <w:p>
      <w:pPr>
        <w:pStyle w:val="Heading2"/>
        <w:spacing w:lineRule="auto" w:line="276" w:before="56" w:after="0"/>
        <w:ind w:hanging="0" w:left="108" w:right="168"/>
        <w:rPr>
          <w:rFonts w:ascii="Arial" w:hAnsi="Arial" w:cs="Arial"/>
          <w:b w:val="false"/>
          <w:bCs w:val="false"/>
          <w:sz w:val="20"/>
          <w:szCs w:val="20"/>
          <w:lang w:val="it-IT"/>
        </w:rPr>
      </w:pPr>
      <w:r>
        <w:rPr>
          <w:rFonts w:cs="Arial" w:ascii="Arial" w:hAnsi="Arial"/>
          <w:sz w:val="20"/>
          <w:szCs w:val="20"/>
          <w:u w:val="single" w:color="000000"/>
          <w:lang w:val="it-IT"/>
        </w:rPr>
        <w:t>N.B.</w:t>
      </w:r>
      <w:r>
        <w:rPr>
          <w:rFonts w:cs="Arial" w:ascii="Arial" w:hAnsi="Arial"/>
          <w:spacing w:val="48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z w:val="20"/>
          <w:szCs w:val="20"/>
          <w:u w:val="single" w:color="000000"/>
          <w:lang w:val="it-IT"/>
        </w:rPr>
        <w:t>La</w:t>
      </w:r>
      <w:r>
        <w:rPr>
          <w:rFonts w:cs="Arial" w:ascii="Arial" w:hAnsi="Arial"/>
          <w:spacing w:val="47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sintesi</w:t>
      </w:r>
      <w:r>
        <w:rPr>
          <w:rFonts w:cs="Arial" w:ascii="Arial" w:hAnsi="Arial"/>
          <w:spacing w:val="47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sopra</w:t>
      </w:r>
      <w:r>
        <w:rPr>
          <w:rFonts w:cs="Arial" w:ascii="Arial" w:hAnsi="Arial"/>
          <w:spacing w:val="48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riportata</w:t>
      </w:r>
      <w:r>
        <w:rPr>
          <w:rFonts w:cs="Arial" w:ascii="Arial" w:hAnsi="Arial"/>
          <w:spacing w:val="48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non</w:t>
      </w:r>
      <w:r>
        <w:rPr>
          <w:rFonts w:cs="Arial" w:ascii="Arial" w:hAnsi="Arial"/>
          <w:spacing w:val="44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z w:val="20"/>
          <w:szCs w:val="20"/>
          <w:u w:val="single" w:color="000000"/>
          <w:lang w:val="it-IT"/>
        </w:rPr>
        <w:t>è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una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diagnosi</w:t>
      </w:r>
      <w:r>
        <w:rPr>
          <w:rFonts w:cs="Arial" w:ascii="Arial" w:hAnsi="Arial"/>
          <w:spacing w:val="46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clinica</w:t>
      </w:r>
      <w:r>
        <w:rPr>
          <w:rFonts w:cs="Arial" w:ascii="Arial" w:hAnsi="Arial"/>
          <w:spacing w:val="47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(le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diagnosi</w:t>
      </w:r>
      <w:r>
        <w:rPr>
          <w:rFonts w:cs="Arial" w:ascii="Arial" w:hAnsi="Arial"/>
          <w:spacing w:val="44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cliniche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spettano</w:t>
      </w:r>
      <w:r>
        <w:rPr>
          <w:rFonts w:cs="Arial" w:ascii="Arial" w:hAnsi="Arial"/>
          <w:spacing w:val="46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esclusivamente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al</w:t>
      </w:r>
      <w:r>
        <w:rPr>
          <w:rFonts w:cs="Arial" w:ascii="Arial" w:hAnsi="Arial"/>
          <w:spacing w:val="40"/>
          <w:sz w:val="20"/>
          <w:szCs w:val="20"/>
          <w:lang w:val="it-IT"/>
        </w:rPr>
        <w:t xml:space="preserve"> </w:t>
      </w:r>
      <w:r>
        <w:rPr>
          <w:rFonts w:cs="Arial" w:ascii="Arial" w:hAnsi="Arial"/>
          <w:sz w:val="20"/>
          <w:szCs w:val="20"/>
          <w:u w:val="single" w:color="000000"/>
          <w:lang w:val="it-IT"/>
        </w:rPr>
        <w:t>medico).</w:t>
      </w:r>
      <w:r>
        <w:br w:type="page"/>
      </w:r>
    </w:p>
    <w:p>
      <w:pPr>
        <w:pStyle w:val="Normal"/>
        <w:spacing w:before="0" w:after="0"/>
        <w:rPr>
          <w:rFonts w:ascii="Calibri" w:hAnsi="Calibri" w:eastAsia="Calibri" w:cs="Calibri"/>
          <w:b/>
          <w:bCs/>
          <w:sz w:val="18"/>
          <w:szCs w:val="18"/>
          <w:lang w:val="it-IT"/>
        </w:rPr>
      </w:pPr>
      <w:r>
        <w:rPr>
          <w:rFonts w:eastAsia="Calibri" w:cs="Calibri"/>
          <w:b/>
          <w:bCs/>
          <w:sz w:val="18"/>
          <w:szCs w:val="18"/>
          <w:lang w:val="it-IT"/>
        </w:rPr>
      </w:r>
    </w:p>
    <w:p>
      <w:pPr>
        <w:pStyle w:val="Normal"/>
        <w:spacing w:before="69" w:after="0"/>
        <w:jc w:val="center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/>
          <w:b/>
          <w:color w:val="F49D16"/>
          <w:spacing w:val="-1"/>
          <w:sz w:val="24"/>
          <w:lang w:val="it-IT"/>
        </w:rPr>
        <w:t>PREDISPOSIZIONE</w:t>
      </w:r>
      <w:r>
        <w:rPr>
          <w:rFonts w:ascii="Arial" w:hAnsi="Arial"/>
          <w:b/>
          <w:color w:val="F49D1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F49D16"/>
          <w:spacing w:val="-1"/>
          <w:sz w:val="24"/>
          <w:lang w:val="it-IT"/>
        </w:rPr>
        <w:t>GENETICA</w:t>
      </w:r>
      <w:r>
        <w:rPr>
          <w:rFonts w:ascii="Arial" w:hAnsi="Arial"/>
          <w:b/>
          <w:color w:val="F49D1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F49D16"/>
          <w:spacing w:val="-1"/>
          <w:sz w:val="24"/>
          <w:lang w:val="it-IT"/>
        </w:rPr>
        <w:t>ALL'AUMENTO</w:t>
      </w:r>
      <w:r>
        <w:rPr>
          <w:rFonts w:ascii="Arial" w:hAnsi="Arial"/>
          <w:b/>
          <w:color w:val="F49D1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F49D16"/>
          <w:spacing w:val="-1"/>
          <w:sz w:val="24"/>
          <w:lang w:val="it-IT"/>
        </w:rPr>
        <w:t>DI</w:t>
      </w:r>
      <w:r>
        <w:rPr>
          <w:rFonts w:ascii="Arial" w:hAnsi="Arial"/>
          <w:b/>
          <w:color w:val="F49D1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F49D16"/>
          <w:spacing w:val="-1"/>
          <w:sz w:val="24"/>
          <w:lang w:val="it-IT"/>
        </w:rPr>
        <w:t>PESO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36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u w:val="single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  <w:bookmarkStart w:id="0" w:name="_Hlk83979477"/>
            <w:bookmarkEnd w:id="0"/>
          </w:p>
        </w:tc>
      </w:tr>
    </w:tbl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spacing w:before="1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" w:name="_Hlk83979518"/>
            <w:bookmarkStart w:id="2" w:name="_Hlk83979518"/>
            <w:bookmarkEnd w:id="2"/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1"/>
        <w:spacing w:before="0" w:after="0"/>
        <w:jc w:val="center"/>
        <w:rPr>
          <w:b w:val="false"/>
          <w:bCs w:val="false"/>
          <w:lang w:val="it-IT"/>
        </w:rPr>
      </w:pPr>
      <w:r>
        <w:rPr>
          <w:color w:val="F49D16"/>
          <w:spacing w:val="-1"/>
          <w:lang w:val="it-IT"/>
        </w:rPr>
        <w:t>PREDISPOSIZIONE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GENETICA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AL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DIABETE</w:t>
      </w:r>
      <w:r>
        <w:rPr>
          <w:color w:val="F49D16"/>
          <w:lang w:val="it-IT"/>
        </w:rPr>
        <w:t xml:space="preserve"> </w:t>
      </w:r>
      <w:r>
        <w:rPr>
          <w:color w:val="F49D16"/>
          <w:spacing w:val="-1"/>
          <w:lang w:val="it-IT"/>
        </w:rPr>
        <w:t>DI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TIPO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lang w:val="it-IT"/>
        </w:rPr>
        <w:t>2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7"/>
          <w:lang w:val="it-IT"/>
        </w:rPr>
        <w:t xml:space="preserve"> </w:t>
      </w:r>
      <w:r>
        <w:rPr>
          <w:lang w:val="it-IT"/>
        </w:rPr>
        <w:t>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descrive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fallimento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8"/>
          <w:lang w:val="it-IT"/>
        </w:rPr>
        <w:t xml:space="preserve"> </w:t>
      </w:r>
      <w:r>
        <w:rPr>
          <w:spacing w:val="-2"/>
          <w:lang w:val="it-IT"/>
        </w:rPr>
        <w:t>cellule</w:t>
      </w:r>
      <w:r>
        <w:rPr>
          <w:spacing w:val="76"/>
          <w:w w:val="9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reagire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l'insulina.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88"/>
        <w:ind w:hanging="0" w:right="119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lineRule="auto" w:line="288"/>
        <w:ind w:hanging="0" w:right="119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27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  <w:bookmarkStart w:id="3" w:name="_Hlk83979565"/>
            <w:bookmarkEnd w:id="3"/>
          </w:p>
        </w:tc>
      </w:tr>
    </w:tbl>
    <w:p>
      <w:pPr>
        <w:pStyle w:val="Normal"/>
        <w:spacing w:lineRule="atLeast" w:line="20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4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4" w:name="_Hlk83979627"/>
            <w:bookmarkStart w:id="5" w:name="_Hlk83979627"/>
            <w:bookmarkEnd w:id="5"/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spacing w:before="0" w:after="0"/>
        <w:jc w:val="center"/>
        <w:rPr>
          <w:b w:val="false"/>
          <w:bCs w:val="false"/>
        </w:rPr>
      </w:pPr>
      <w:r>
        <w:rPr>
          <w:color w:val="F49D16"/>
          <w:spacing w:val="-1"/>
        </w:rPr>
        <w:t>PREDISPOSIZIONE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GENETICA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ALLE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PATOLOGIE</w:t>
      </w:r>
      <w:r>
        <w:rPr>
          <w:color w:val="F49D16"/>
          <w:spacing w:val="2"/>
        </w:rPr>
        <w:t xml:space="preserve"> </w:t>
      </w:r>
      <w:r>
        <w:rPr>
          <w:color w:val="F49D16"/>
          <w:spacing w:val="-1"/>
        </w:rPr>
        <w:t>CARDIOVASCOLARI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color w:val="F49D16"/>
          <w:spacing w:val="-1"/>
          <w:lang w:val="it-IT"/>
        </w:rPr>
        <w:t>patologie</w:t>
      </w:r>
      <w:r>
        <w:rPr>
          <w:b/>
          <w:color w:val="F49D16"/>
          <w:spacing w:val="-8"/>
          <w:lang w:val="it-IT"/>
        </w:rPr>
        <w:t xml:space="preserve"> </w:t>
      </w:r>
      <w:r>
        <w:rPr>
          <w:b/>
          <w:color w:val="F49D16"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Normal"/>
        <w:spacing w:before="10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27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  <w:bookmarkStart w:id="6" w:name="_Hlk83979719"/>
            <w:bookmarkEnd w:id="6"/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5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1"/>
        <w:gridCol w:w="2255"/>
        <w:gridCol w:w="3877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236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77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25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7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7" w:name="_Hlk83979744"/>
            <w:bookmarkStart w:id="8" w:name="_Hlk83979744"/>
            <w:bookmarkEnd w:id="8"/>
          </w:p>
        </w:tc>
      </w:tr>
    </w:tbl>
    <w:p>
      <w:pPr>
        <w:pStyle w:val="Normal"/>
        <w:spacing w:before="4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spacing w:before="4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tbl>
      <w:tblPr>
        <w:tblStyle w:val="Grigliatabella"/>
        <w:tblW w:w="10528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19"/>
        <w:gridCol w:w="1624"/>
        <w:gridCol w:w="2353"/>
        <w:gridCol w:w="2611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19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88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1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1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4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spacing w:before="0" w:after="0"/>
        <w:jc w:val="center"/>
        <w:rPr>
          <w:b w:val="false"/>
          <w:bCs w:val="false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4" w:after="0"/>
        <w:rPr>
          <w:rFonts w:ascii="Arial" w:hAnsi="Arial" w:eastAsia="Arial" w:cs="Arial"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3"/>
        <w:ind w:hanging="0" w:left="0"/>
        <w:jc w:val="both"/>
        <w:rPr>
          <w:b w:val="false"/>
          <w:bCs w:val="false"/>
          <w:lang w:val="it-IT"/>
        </w:rPr>
      </w:pPr>
      <w:r>
        <w:rPr>
          <w:spacing w:val="-1"/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bookmarkStart w:id="9" w:name="_Hlk83979830"/>
      <w:r>
        <w:rPr>
          <w:b w:val="false"/>
          <w:bCs w:val="false"/>
          <w:spacing w:val="-8"/>
          <w:lang w:val="it-IT"/>
        </w:rPr>
        <w:t>testo_intolleranze_lungo</w:t>
      </w:r>
      <w:bookmarkEnd w:id="9"/>
    </w:p>
    <w:p>
      <w:pPr>
        <w:pStyle w:val="Heading3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3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  <w:bookmarkStart w:id="10" w:name="_Hlk83979809"/>
      <w:bookmarkStart w:id="11" w:name="_Hlk83979809"/>
      <w:bookmarkEnd w:id="11"/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4"/>
        <w:gridCol w:w="2427"/>
        <w:gridCol w:w="2352"/>
        <w:gridCol w:w="1344"/>
        <w:gridCol w:w="2433"/>
      </w:tblGrid>
      <w:tr>
        <w:trPr>
          <w:trHeight w:val="454" w:hRule="atLeast"/>
        </w:trPr>
        <w:tc>
          <w:tcPr>
            <w:tcW w:w="1794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3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11" w:after="0"/>
        <w:ind w:hanging="0" w:left="0"/>
        <w:jc w:val="both"/>
        <w:rPr>
          <w:rFonts w:ascii="Arial" w:hAnsi="Arial" w:eastAsia="Arial" w:cs="Arial"/>
          <w:b w:val="false"/>
          <w:bCs w:val="false"/>
          <w:sz w:val="19"/>
          <w:szCs w:val="19"/>
          <w:lang w:val="it-IT"/>
        </w:rPr>
      </w:pPr>
      <w:r>
        <w:rPr>
          <w:rFonts w:eastAsia="Arial" w:cs="Arial" w:ascii="Arial" w:hAnsi="Arial"/>
          <w:b w:val="false"/>
          <w:bCs w:val="false"/>
          <w:sz w:val="19"/>
          <w:szCs w:val="19"/>
          <w:lang w:val="it-IT"/>
        </w:rPr>
      </w:r>
      <w:r>
        <w:br w:type="page"/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  <w:t>INFLUENZA</w:t>
      </w:r>
      <w:r>
        <w:rPr>
          <w:rFonts w:ascii="Arial" w:hAnsi="Arial"/>
          <w:b/>
          <w:color w:val="E32C5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GENETICA NELL'ASSORBIMENTO </w:t>
        <w:br/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24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NEL METABOLISMO DI MINERALI </w:t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 VITAMINE</w:t>
      </w:r>
      <w:bookmarkStart w:id="12" w:name="_Hlk83979922"/>
      <w:bookmarkEnd w:id="12"/>
    </w:p>
    <w:p>
      <w:pPr>
        <w:pStyle w:val="Normal"/>
        <w:spacing w:lineRule="auto" w:line="276" w:before="69" w:after="0"/>
        <w:ind w:hanging="142" w:left="2514" w:right="2432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BodyText"/>
        <w:spacing w:before="2" w:after="0"/>
        <w:ind w:hanging="0" w:left="0"/>
        <w:jc w:val="both"/>
        <w:rPr>
          <w:lang w:val="it-IT"/>
        </w:rPr>
      </w:pPr>
      <w:r>
        <w:rPr>
          <w:lang w:val="it-IT"/>
        </w:rPr>
        <w:t>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micronutrienti,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2"/>
          <w:lang w:val="it-IT"/>
        </w:rPr>
        <w:t>includono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vitamine</w:t>
      </w:r>
      <w:r>
        <w:rPr>
          <w:b/>
          <w:spacing w:val="-5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minerali</w:t>
      </w:r>
      <w:r>
        <w:rPr>
          <w:spacing w:val="-1"/>
          <w:lang w:val="it-IT"/>
        </w:rPr>
        <w:t>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vitali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-5"/>
          <w:lang w:val="it-IT"/>
        </w:rPr>
        <w:t xml:space="preserve"> </w:t>
      </w:r>
      <w:r>
        <w:rPr>
          <w:spacing w:val="-2"/>
          <w:lang w:val="it-IT"/>
        </w:rPr>
        <w:t>salute.</w:t>
      </w:r>
    </w:p>
    <w:p>
      <w:pPr>
        <w:pStyle w:val="Normal"/>
        <w:spacing w:before="2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essenziali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funzionamento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organismo;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migliorano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benessere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aiutano</w:t>
      </w:r>
      <w:r>
        <w:rPr>
          <w:spacing w:val="9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prevenire</w:t>
      </w:r>
      <w:r>
        <w:rPr>
          <w:spacing w:val="35"/>
          <w:w w:val="99"/>
          <w:lang w:val="it-IT"/>
        </w:rPr>
        <w:t xml:space="preserve"> </w:t>
      </w:r>
      <w:r>
        <w:rPr>
          <w:spacing w:val="-1"/>
          <w:lang w:val="it-IT"/>
        </w:rPr>
        <w:t>molte</w:t>
      </w:r>
      <w:r>
        <w:rPr>
          <w:spacing w:val="36"/>
          <w:lang w:val="it-IT"/>
        </w:rPr>
        <w:t xml:space="preserve"> </w:t>
      </w:r>
      <w:r>
        <w:rPr>
          <w:spacing w:val="-2"/>
          <w:lang w:val="it-IT"/>
        </w:rPr>
        <w:t>malattie.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fabbisogno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giornaliero</w:t>
      </w:r>
      <w:r>
        <w:rPr>
          <w:spacing w:val="35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determinato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numerosi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fattori</w:t>
      </w:r>
      <w:r>
        <w:rPr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questi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genetico.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Possiamo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ottenere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quasi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tutte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vitamine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15"/>
          <w:lang w:val="it-IT"/>
        </w:rPr>
        <w:t xml:space="preserve"> </w:t>
      </w:r>
      <w:r>
        <w:rPr>
          <w:lang w:val="it-IT"/>
        </w:rPr>
        <w:t>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minerali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cibo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normale.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Tuttavia,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essere leggermente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difficile nel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caso in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siamo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inclini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mancanza.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capitolo,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riveleremo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livelli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lang w:val="it-IT"/>
        </w:rPr>
        <w:t>B9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(acido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folico),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8"/>
          <w:lang w:val="it-IT"/>
        </w:rPr>
        <w:t xml:space="preserve"> </w:t>
      </w:r>
      <w:r>
        <w:rPr>
          <w:b/>
          <w:lang w:val="it-IT"/>
        </w:rPr>
        <w:t>D</w:t>
      </w:r>
      <w:r>
        <w:rPr>
          <w:lang w:val="it-IT"/>
        </w:rPr>
        <w:t>,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B12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minerali,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b/>
          <w:spacing w:val="-1"/>
          <w:lang w:val="it-IT"/>
        </w:rPr>
        <w:t>ferro</w:t>
      </w:r>
      <w:r>
        <w:rPr>
          <w:spacing w:val="-1"/>
          <w:lang w:val="it-IT"/>
        </w:rPr>
        <w:t>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potrebbero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influenzati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dai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tuoi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geni.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3"/>
        <w:ind w:hanging="0" w:left="0"/>
        <w:jc w:val="both"/>
        <w:rPr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11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color w:val="008080"/>
          <w:spacing w:val="-1"/>
          <w:lang w:val="it-IT"/>
        </w:rPr>
        <w:t xml:space="preserve"> </w:t>
      </w:r>
      <w:bookmarkStart w:id="13" w:name="_Hlk83979936"/>
      <w:r>
        <w:rPr>
          <w:rFonts w:cs="Arial"/>
          <w:b w:val="false"/>
          <w:bCs w:val="false"/>
          <w:lang w:val="it-IT"/>
        </w:rPr>
        <w:t>testo_assorbimento_lungo</w:t>
      </w:r>
      <w:bookmarkEnd w:id="13"/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02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3"/>
        <w:gridCol w:w="1360"/>
        <w:gridCol w:w="2176"/>
        <w:gridCol w:w="1350"/>
        <w:gridCol w:w="3093"/>
      </w:tblGrid>
      <w:tr>
        <w:trPr>
          <w:trHeight w:val="454" w:hRule="atLeast"/>
        </w:trPr>
        <w:tc>
          <w:tcPr>
            <w:tcW w:w="2423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886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093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242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6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7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35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09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4" w:name="_Hlk83979968"/>
            <w:bookmarkStart w:id="15" w:name="_Hlk83979968"/>
            <w:bookmarkEnd w:id="15"/>
          </w:p>
        </w:tc>
      </w:tr>
    </w:tbl>
    <w:p>
      <w:pPr>
        <w:pStyle w:val="Normal"/>
        <w:spacing w:before="10" w:after="0"/>
        <w:rPr>
          <w:rFonts w:ascii="Arial" w:hAnsi="Arial" w:eastAsia="Arial" w:cs="Arial"/>
          <w:b/>
          <w:bCs/>
          <w:sz w:val="21"/>
          <w:szCs w:val="21"/>
        </w:rPr>
      </w:pPr>
      <w:r>
        <w:rPr>
          <w:rFonts w:eastAsia="Arial" w:cs="Arial" w:ascii="Arial" w:hAnsi="Arial"/>
          <w:b/>
          <w:bCs/>
          <w:sz w:val="21"/>
          <w:szCs w:val="21"/>
        </w:rPr>
      </w:r>
    </w:p>
    <w:p>
      <w:pPr>
        <w:pStyle w:val="Normal"/>
        <w:spacing w:before="10" w:after="0"/>
        <w:rPr>
          <w:rFonts w:ascii="Arial" w:hAnsi="Arial" w:eastAsia="Arial" w:cs="Arial"/>
          <w:b/>
          <w:bCs/>
          <w:sz w:val="21"/>
          <w:szCs w:val="21"/>
        </w:rPr>
      </w:pPr>
      <w:r>
        <w:rPr>
          <w:rFonts w:eastAsia="Arial" w:cs="Arial" w:ascii="Arial" w:hAnsi="Arial"/>
          <w:b/>
          <w:bCs/>
          <w:sz w:val="21"/>
          <w:szCs w:val="21"/>
        </w:rPr>
      </w:r>
    </w:p>
    <w:tbl>
      <w:tblPr>
        <w:tblStyle w:val="Grigliatabella"/>
        <w:tblW w:w="10342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18"/>
        <w:gridCol w:w="2325"/>
        <w:gridCol w:w="1618"/>
        <w:gridCol w:w="2353"/>
        <w:gridCol w:w="2428"/>
      </w:tblGrid>
      <w:tr>
        <w:trPr>
          <w:trHeight w:val="454" w:hRule="atLeast"/>
        </w:trPr>
        <w:tc>
          <w:tcPr>
            <w:tcW w:w="1618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5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39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18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1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42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10" w:after="0"/>
        <w:rPr>
          <w:rFonts w:ascii="Arial" w:hAnsi="Arial" w:eastAsia="Arial" w:cs="Arial"/>
          <w:b/>
          <w:bCs/>
          <w:sz w:val="21"/>
          <w:szCs w:val="21"/>
        </w:rPr>
      </w:pPr>
      <w:r>
        <w:rPr>
          <w:rFonts w:eastAsia="Arial" w:cs="Arial" w:ascii="Arial" w:hAnsi="Arial"/>
          <w:b/>
          <w:bCs/>
          <w:sz w:val="21"/>
          <w:szCs w:val="21"/>
        </w:rPr>
      </w:r>
      <w:r>
        <w:br w:type="page"/>
      </w:r>
    </w:p>
    <w:p>
      <w:pPr>
        <w:pStyle w:val="Normal"/>
        <w:spacing w:before="0" w:after="0"/>
        <w:ind w:hanging="0" w:left="108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4" w:after="0"/>
        <w:rPr>
          <w:rFonts w:ascii="Calibri" w:hAnsi="Calibri" w:eastAsia="Calibri" w:cs="Calibri"/>
          <w:b/>
          <w:bCs/>
          <w:sz w:val="13"/>
          <w:szCs w:val="13"/>
          <w:lang w:val="it-IT"/>
        </w:rPr>
      </w:pPr>
      <w:r>
        <w:rPr>
          <w:rFonts w:eastAsia="Calibri" w:cs="Calibri"/>
          <w:b/>
          <w:bCs/>
          <w:sz w:val="13"/>
          <w:szCs w:val="13"/>
          <w:lang w:val="it-IT"/>
        </w:rPr>
      </w:r>
    </w:p>
    <w:p>
      <w:pPr>
        <w:pStyle w:val="BodyText"/>
        <w:spacing w:lineRule="auto" w:line="276" w:before="74" w:after="0"/>
        <w:ind w:hanging="0" w:left="108" w:right="98"/>
        <w:jc w:val="both"/>
        <w:rPr>
          <w:lang w:val="it-IT"/>
        </w:rPr>
      </w:pPr>
      <w:r>
        <w:rPr>
          <w:spacing w:val="-1"/>
          <w:lang w:val="it-IT"/>
        </w:rPr>
        <w:t xml:space="preserve">Il test si concentra esclusivamente sulle variazioni genetiche la cui correlazione con l'insorgenza di patologie complesse (come obesità, diabete di tipo 2 e malattie cardiovascolari) è supportata da un'ampia letteratura scientifica. Questo test rappresenta un utile strumento per il tuo benessere, ma </w:t>
      </w:r>
      <w:r>
        <w:rPr>
          <w:b/>
          <w:bCs/>
          <w:spacing w:val="-1"/>
          <w:lang w:val="it-IT"/>
        </w:rPr>
        <w:t>non costituisce una diagnosi clinica e non sostituisce il parere del medico</w:t>
      </w:r>
      <w:r>
        <w:rPr>
          <w:spacing w:val="-1"/>
          <w:lang w:val="it-IT"/>
        </w:rPr>
        <w:t xml:space="preserve">. I risultati devono essere valutati ed approvati alla luce della storia anamnestica personale su </w:t>
      </w:r>
      <w:r>
        <w:rPr>
          <w:b/>
          <w:bCs/>
          <w:spacing w:val="-1"/>
          <w:lang w:val="it-IT"/>
        </w:rPr>
        <w:t>verifica del medico curante</w:t>
      </w:r>
      <w:r>
        <w:rPr>
          <w:spacing w:val="-1"/>
          <w:lang w:val="it-IT"/>
        </w:rPr>
        <w:t>.</w:t>
      </w:r>
    </w:p>
    <w:p>
      <w:pPr>
        <w:pStyle w:val="Normal"/>
        <w:spacing w:before="5" w:after="0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BodyText"/>
        <w:jc w:val="both"/>
        <w:rPr>
          <w:lang w:val="it-IT"/>
        </w:rPr>
      </w:pPr>
      <w:r>
        <w:rPr>
          <w:spacing w:val="-1"/>
          <w:lang w:val="it-IT"/>
        </w:rPr>
        <w:t>N.B.L'elenco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individuati.</w:t>
      </w:r>
    </w:p>
    <w:p>
      <w:pPr>
        <w:pStyle w:val="Normal"/>
        <w:spacing w:before="5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3"/>
        <w:jc w:val="both"/>
        <w:rPr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14"/>
          <w:szCs w:val="14"/>
          <w:lang w:val="it-IT"/>
        </w:rPr>
      </w:pPr>
      <w:r>
        <w:rPr>
          <w:rFonts w:eastAsia="Arial" w:cs="Arial" w:ascii="Arial" w:hAnsi="Arial"/>
          <w:b/>
          <w:bCs/>
          <w:sz w:val="14"/>
          <w:szCs w:val="14"/>
          <w:lang w:val="it-IT"/>
        </w:rPr>
      </w:r>
    </w:p>
    <w:p>
      <w:pPr>
        <w:pStyle w:val="Normal"/>
        <w:spacing w:before="80" w:after="0"/>
        <w:ind w:hanging="0" w:left="108"/>
        <w:rPr>
          <w:sz w:val="16"/>
          <w:szCs w:val="16"/>
        </w:rPr>
      </w:pPr>
      <w:r>
        <w:rPr>
          <w:rFonts w:ascii="Arial" w:hAnsi="Arial"/>
          <w:b/>
          <w:i/>
          <w:spacing w:val="-1"/>
          <w:sz w:val="16"/>
          <w:szCs w:val="16"/>
          <w:lang w:val="it-IT"/>
        </w:rPr>
        <w:t>Bibliografia</w:t>
      </w:r>
    </w:p>
    <w:p>
      <w:pPr>
        <w:pStyle w:val="Normal"/>
        <w:spacing w:before="10" w:after="0"/>
        <w:rPr>
          <w:rFonts w:ascii="Arial" w:hAnsi="Arial" w:eastAsia="Arial" w:cs="Arial"/>
          <w:b/>
          <w:bCs/>
          <w:i/>
          <w:i/>
          <w:sz w:val="16"/>
          <w:szCs w:val="16"/>
          <w:lang w:val="it-IT"/>
        </w:rPr>
      </w:pPr>
      <w:r>
        <w:rPr>
          <w:rFonts w:eastAsia="Arial" w:cs="Arial" w:ascii="Arial" w:hAnsi="Arial"/>
          <w:b/>
          <w:bCs/>
          <w:i/>
          <w:sz w:val="16"/>
          <w:szCs w:val="16"/>
          <w:lang w:val="it-IT"/>
        </w:rPr>
      </w:r>
    </w:p>
    <w:p>
      <w:pPr>
        <w:pStyle w:val="Normal"/>
        <w:spacing w:lineRule="auto" w:line="240"/>
        <w:ind w:hanging="0" w:left="108" w:right="112"/>
        <w:rPr>
          <w:sz w:val="16"/>
          <w:szCs w:val="16"/>
        </w:rPr>
      </w:pPr>
      <w:r>
        <w:rPr>
          <w:rFonts w:eastAsia="Arial" w:cs="Arial" w:ascii="Arial" w:hAnsi="Arial"/>
          <w:spacing w:val="-1"/>
          <w:sz w:val="16"/>
          <w:szCs w:val="16"/>
          <w:lang w:val="en-NZ"/>
        </w:rPr>
        <w:t>Liù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CC,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 xml:space="preserve">Liu </w:t>
      </w:r>
      <w:r>
        <w:rPr>
          <w:rFonts w:eastAsia="Arial" w:cs="Arial" w:ascii="Arial" w:hAnsi="Arial"/>
          <w:sz w:val="16"/>
          <w:szCs w:val="16"/>
          <w:lang w:val="en-NZ"/>
        </w:rPr>
        <w:t>CC,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 xml:space="preserve"> Kanekiyo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T,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Xu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H,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 xml:space="preserve"> Bu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G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(February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2013).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14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Apolipoprotein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z w:val="16"/>
          <w:szCs w:val="16"/>
        </w:rPr>
        <w:t xml:space="preserve">E </w:t>
      </w:r>
      <w:r>
        <w:rPr>
          <w:rFonts w:eastAsia="Arial" w:cs="Arial" w:ascii="Arial" w:hAnsi="Arial"/>
          <w:i/>
          <w:spacing w:val="-1"/>
          <w:sz w:val="16"/>
          <w:szCs w:val="16"/>
        </w:rPr>
        <w:t>and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Alzheimer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disease: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risk,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mechanisms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and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therapy</w:t>
      </w:r>
      <w:r>
        <w:rPr>
          <w:rFonts w:eastAsia="Arial" w:cs="Arial" w:ascii="Arial" w:hAnsi="Arial"/>
          <w:i/>
          <w:spacing w:val="1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z w:val="16"/>
          <w:szCs w:val="16"/>
        </w:rPr>
        <w:t>.</w:t>
      </w:r>
      <w:r>
        <w:rPr>
          <w:rFonts w:eastAsia="Arial" w:cs="Arial" w:ascii="Arial" w:hAnsi="Arial"/>
          <w:i/>
          <w:spacing w:val="4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Nature</w:t>
      </w:r>
      <w:r>
        <w:rPr>
          <w:rFonts w:eastAsia="Arial" w:cs="Arial" w:ascii="Arial" w:hAnsi="Arial"/>
          <w:spacing w:val="94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Reviews.</w:t>
      </w:r>
      <w:r>
        <w:rPr>
          <w:rFonts w:eastAsia="Arial" w:cs="Arial" w:ascii="Arial" w:hAnsi="Arial"/>
          <w:spacing w:val="-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Neurology.9(2):</w:t>
      </w:r>
      <w:r>
        <w:rPr>
          <w:rFonts w:eastAsia="Arial" w:cs="Arial" w:ascii="Arial" w:hAnsi="Arial"/>
          <w:spacing w:val="-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106–18.</w:t>
      </w:r>
    </w:p>
    <w:p>
      <w:pPr>
        <w:pStyle w:val="Normal"/>
        <w:spacing w:lineRule="auto" w:line="240" w:before="3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68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Dana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Simona Chita,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Anca Tudor, Ruxandra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 xml:space="preserve">Christodorescu </w:t>
      </w:r>
      <w:r>
        <w:rPr>
          <w:rFonts w:ascii="Arial" w:hAnsi="Arial"/>
          <w:sz w:val="16"/>
          <w:szCs w:val="16"/>
        </w:rPr>
        <w:t>et</w:t>
      </w:r>
      <w:r>
        <w:rPr>
          <w:rFonts w:ascii="Arial" w:hAnsi="Arial"/>
          <w:spacing w:val="-1"/>
          <w:sz w:val="16"/>
          <w:szCs w:val="16"/>
        </w:rPr>
        <w:t xml:space="preserve"> al</w:t>
      </w:r>
      <w:r>
        <w:rPr>
          <w:rFonts w:ascii="Arial" w:hAnsi="Arial"/>
          <w:spacing w:val="4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MTHFR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Gene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Polymorphisms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Prevalence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Cardiovascular Risk Factors</w:t>
      </w:r>
      <w:r>
        <w:rPr>
          <w:rFonts w:ascii="Arial" w:hAnsi="Arial"/>
          <w:i/>
          <w:spacing w:val="88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Involved</w:t>
      </w:r>
      <w:r>
        <w:rPr>
          <w:rFonts w:ascii="Arial" w:hAnsi="Arial"/>
          <w:i/>
          <w:sz w:val="16"/>
          <w:szCs w:val="16"/>
        </w:rPr>
        <w:t xml:space="preserve"> in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Cardioembolic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Stroke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Type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Severity.</w:t>
      </w:r>
      <w:r>
        <w:rPr>
          <w:rFonts w:ascii="Arial" w:hAnsi="Arial"/>
          <w:i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Brain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Sci. 2020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Aug; 10(8): 476.</w:t>
      </w:r>
    </w:p>
    <w:p>
      <w:pPr>
        <w:pStyle w:val="Normal"/>
        <w:spacing w:lineRule="auto" w:line="240" w:before="7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257"/>
        <w:rPr>
          <w:sz w:val="16"/>
          <w:szCs w:val="16"/>
        </w:rPr>
      </w:pPr>
      <w:r>
        <w:rPr>
          <w:rFonts w:eastAsia="Arial" w:cs="Arial" w:ascii="Arial" w:hAnsi="Arial"/>
          <w:spacing w:val="-1"/>
          <w:sz w:val="16"/>
          <w:szCs w:val="16"/>
        </w:rPr>
        <w:t>A.Georgopoulos,</w:t>
      </w:r>
      <w:r>
        <w:rPr>
          <w:rFonts w:eastAsia="Arial" w:cs="Arial" w:ascii="Arial" w:hAnsi="Arial"/>
          <w:sz w:val="16"/>
          <w:szCs w:val="16"/>
        </w:rPr>
        <w:t xml:space="preserve"> H. </w:t>
      </w:r>
      <w:r>
        <w:rPr>
          <w:rFonts w:eastAsia="Arial" w:cs="Arial" w:ascii="Arial" w:hAnsi="Arial"/>
          <w:spacing w:val="-1"/>
          <w:sz w:val="16"/>
          <w:szCs w:val="16"/>
        </w:rPr>
        <w:t>Bloomfield,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D.</w:t>
      </w:r>
      <w:r>
        <w:rPr>
          <w:rFonts w:eastAsia="Arial" w:cs="Arial" w:ascii="Arial" w:hAnsi="Arial"/>
          <w:spacing w:val="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Collins</w:t>
      </w:r>
      <w:r>
        <w:rPr>
          <w:rFonts w:eastAsia="Arial" w:cs="Arial" w:ascii="Arial" w:hAnsi="Arial"/>
          <w:sz w:val="16"/>
          <w:szCs w:val="16"/>
        </w:rPr>
        <w:t xml:space="preserve"> et </w:t>
      </w:r>
      <w:r>
        <w:rPr>
          <w:rFonts w:eastAsia="Arial" w:cs="Arial" w:ascii="Arial" w:hAnsi="Arial"/>
          <w:spacing w:val="-1"/>
          <w:sz w:val="16"/>
          <w:szCs w:val="16"/>
        </w:rPr>
        <w:t>al.,</w:t>
      </w:r>
      <w:r>
        <w:rPr>
          <w:rFonts w:eastAsia="Arial" w:cs="Arial" w:ascii="Arial" w:hAnsi="Arial"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“Codon</w:t>
      </w:r>
      <w:r>
        <w:rPr>
          <w:rFonts w:eastAsia="Arial" w:cs="Arial" w:ascii="Arial" w:hAnsi="Arial"/>
          <w:i/>
          <w:sz w:val="16"/>
          <w:szCs w:val="16"/>
        </w:rPr>
        <w:t xml:space="preserve"> 54 </w:t>
      </w:r>
      <w:r>
        <w:rPr>
          <w:rFonts w:eastAsia="Arial" w:cs="Arial" w:ascii="Arial" w:hAnsi="Arial"/>
          <w:i/>
          <w:spacing w:val="-1"/>
          <w:sz w:val="16"/>
          <w:szCs w:val="16"/>
        </w:rPr>
        <w:t>polymorphism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of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fatty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acid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binding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protein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(FABP)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z w:val="16"/>
          <w:szCs w:val="16"/>
        </w:rPr>
        <w:t xml:space="preserve">2 </w:t>
      </w:r>
      <w:r>
        <w:rPr>
          <w:rFonts w:eastAsia="Arial" w:cs="Arial" w:ascii="Arial" w:hAnsi="Arial"/>
          <w:i/>
          <w:spacing w:val="-1"/>
          <w:sz w:val="16"/>
          <w:szCs w:val="16"/>
        </w:rPr>
        <w:t>gene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associated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with</w:t>
      </w:r>
      <w:r>
        <w:rPr>
          <w:rFonts w:eastAsia="Arial" w:cs="Arial" w:ascii="Arial" w:hAnsi="Arial"/>
          <w:i/>
          <w:spacing w:val="99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increased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cardiovascular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risk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dyslipidemic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diabetic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participants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of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Veterans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Affairs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HDL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intervention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trial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(VA-HIT),”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Atherosclerosis,</w:t>
      </w:r>
      <w:r>
        <w:rPr>
          <w:rFonts w:eastAsia="Arial" w:cs="Arial" w:ascii="Arial" w:hAnsi="Arial"/>
          <w:spacing w:val="123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vol. 194,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no. 1,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pp. 169–174, 2007.</w:t>
      </w:r>
    </w:p>
    <w:p>
      <w:pPr>
        <w:pStyle w:val="Normal"/>
        <w:spacing w:lineRule="auto" w:line="240" w:before="6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257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 xml:space="preserve">Chun-Jian Qiu </w:t>
      </w:r>
      <w:r>
        <w:rPr>
          <w:rFonts w:ascii="Arial" w:hAnsi="Arial"/>
          <w:sz w:val="16"/>
          <w:szCs w:val="16"/>
        </w:rPr>
        <w:t>,</w:t>
      </w:r>
      <w:r>
        <w:rPr>
          <w:rFonts w:ascii="Arial" w:hAnsi="Arial"/>
          <w:spacing w:val="-1"/>
          <w:sz w:val="16"/>
          <w:szCs w:val="16"/>
        </w:rPr>
        <w:t xml:space="preserve"> Xiao-Zheng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Ye, Xiao-Juan Yu, Xiao-Ren Peng, Tong-Huan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Li.</w:t>
      </w:r>
      <w:r>
        <w:rPr>
          <w:rFonts w:ascii="Arial" w:hAnsi="Arial"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Association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between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FABP2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Ala54Thr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polymorphisms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type</w:t>
      </w:r>
      <w:r>
        <w:rPr>
          <w:rFonts w:ascii="Arial" w:hAnsi="Arial"/>
          <w:i/>
          <w:spacing w:val="100"/>
          <w:sz w:val="16"/>
          <w:szCs w:val="16"/>
        </w:rPr>
        <w:t xml:space="preserve"> </w:t>
      </w:r>
      <w:r>
        <w:rPr>
          <w:rFonts w:ascii="Arial" w:hAnsi="Arial"/>
          <w:i/>
          <w:sz w:val="16"/>
          <w:szCs w:val="16"/>
        </w:rPr>
        <w:t>2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diabetes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mellitus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risk:</w:t>
      </w:r>
      <w:r>
        <w:rPr>
          <w:rFonts w:ascii="Arial" w:hAnsi="Arial"/>
          <w:i/>
          <w:sz w:val="16"/>
          <w:szCs w:val="16"/>
        </w:rPr>
        <w:t xml:space="preserve"> a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HuGE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Review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Meta-Analysis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J</w:t>
      </w:r>
      <w:r>
        <w:rPr>
          <w:rFonts w:ascii="Arial" w:hAnsi="Arial"/>
          <w:spacing w:val="-1"/>
          <w:sz w:val="16"/>
          <w:szCs w:val="16"/>
        </w:rPr>
        <w:t xml:space="preserve"> Cell Mol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Med. 2014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Dec;18(12):2530-5.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68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Dayana Rodrigues Farias,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Nadya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Helena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Alves-Santos,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Ilana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Eshriqui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et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al.</w:t>
      </w:r>
      <w:r>
        <w:rPr>
          <w:rFonts w:ascii="Arial" w:hAnsi="Arial"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Leptin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gene polymorphism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(rs7799039; G2548A)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is associated with</w:t>
      </w:r>
      <w:r>
        <w:rPr>
          <w:rFonts w:ascii="Arial" w:hAnsi="Arial"/>
          <w:i/>
          <w:spacing w:val="13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 xml:space="preserve">changes </w:t>
      </w:r>
      <w:r>
        <w:rPr>
          <w:rFonts w:ascii="Arial" w:hAnsi="Arial"/>
          <w:i/>
          <w:sz w:val="16"/>
          <w:szCs w:val="16"/>
        </w:rPr>
        <w:t xml:space="preserve">in </w:t>
      </w:r>
      <w:r>
        <w:rPr>
          <w:rFonts w:ascii="Arial" w:hAnsi="Arial"/>
          <w:i/>
          <w:spacing w:val="-1"/>
          <w:sz w:val="16"/>
          <w:szCs w:val="16"/>
        </w:rPr>
        <w:t>serum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lipid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concentrations during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pregnancy:</w:t>
      </w:r>
      <w:r>
        <w:rPr>
          <w:rFonts w:ascii="Arial" w:hAnsi="Arial"/>
          <w:i/>
          <w:sz w:val="16"/>
          <w:szCs w:val="16"/>
        </w:rPr>
        <w:t xml:space="preserve"> a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prospective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cohort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study.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Eur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J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Nutr. 2020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Aug;59(5):1999-2009.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68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Crider et al. (2011).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MTHFR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677C-&gt;T genotype is associated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with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folate and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homocysteine</w:t>
      </w:r>
      <w:r>
        <w:rPr>
          <w:rFonts w:ascii="Arial" w:hAnsi="Arial"/>
          <w:i/>
          <w:sz w:val="16"/>
          <w:szCs w:val="16"/>
        </w:rPr>
        <w:t xml:space="preserve"> concentrations</w:t>
      </w:r>
      <w:r>
        <w:rPr>
          <w:rFonts w:ascii="Arial" w:hAnsi="Arial"/>
          <w:i/>
          <w:spacing w:val="-1"/>
          <w:sz w:val="16"/>
          <w:szCs w:val="16"/>
        </w:rPr>
        <w:t xml:space="preserve"> in</w:t>
      </w:r>
      <w:r>
        <w:rPr>
          <w:rFonts w:ascii="Arial" w:hAnsi="Arial"/>
          <w:i/>
          <w:sz w:val="16"/>
          <w:szCs w:val="16"/>
        </w:rPr>
        <w:t xml:space="preserve"> a </w:t>
      </w:r>
      <w:r>
        <w:rPr>
          <w:rFonts w:ascii="Arial" w:hAnsi="Arial"/>
          <w:i/>
          <w:spacing w:val="-1"/>
          <w:sz w:val="16"/>
          <w:szCs w:val="16"/>
        </w:rPr>
        <w:t>large,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population-based, double-</w:t>
      </w:r>
      <w:r>
        <w:rPr>
          <w:rFonts w:ascii="Arial" w:hAnsi="Arial"/>
          <w:i/>
          <w:spacing w:val="60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blind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trial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of</w:t>
      </w:r>
      <w:r>
        <w:rPr>
          <w:rFonts w:ascii="Arial" w:hAnsi="Arial"/>
          <w:i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folic acid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supplementation.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 xml:space="preserve">Am </w:t>
      </w:r>
      <w:r>
        <w:rPr>
          <w:rFonts w:ascii="Arial" w:hAnsi="Arial"/>
          <w:sz w:val="16"/>
          <w:szCs w:val="16"/>
        </w:rPr>
        <w:t>J</w:t>
      </w:r>
      <w:r>
        <w:rPr>
          <w:rFonts w:ascii="Arial" w:hAnsi="Arial"/>
          <w:spacing w:val="-1"/>
          <w:sz w:val="16"/>
          <w:szCs w:val="16"/>
        </w:rPr>
        <w:t xml:space="preserve"> Clin Nutr. 93(6):1365-1372.</w:t>
      </w:r>
    </w:p>
    <w:p>
      <w:pPr>
        <w:pStyle w:val="Normal"/>
        <w:spacing w:lineRule="auto" w:line="240" w:before="6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68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Chibo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 xml:space="preserve">Liu </w:t>
      </w:r>
      <w:r>
        <w:rPr>
          <w:rFonts w:ascii="Arial" w:hAnsi="Arial"/>
          <w:sz w:val="16"/>
          <w:szCs w:val="16"/>
        </w:rPr>
        <w:t xml:space="preserve">, </w:t>
      </w:r>
      <w:r>
        <w:rPr>
          <w:rFonts w:ascii="Arial" w:hAnsi="Arial"/>
          <w:spacing w:val="-1"/>
          <w:sz w:val="16"/>
          <w:szCs w:val="16"/>
        </w:rPr>
        <w:t>Sihua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Mou,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Chunqin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 xml:space="preserve">Pan. </w:t>
      </w:r>
      <w:r>
        <w:rPr>
          <w:rFonts w:ascii="Arial" w:hAnsi="Arial"/>
          <w:i/>
          <w:spacing w:val="-1"/>
          <w:sz w:val="16"/>
          <w:szCs w:val="16"/>
        </w:rPr>
        <w:t>The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FTO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gene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rs9939609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polymorphism</w:t>
      </w:r>
      <w:r>
        <w:rPr>
          <w:rFonts w:ascii="Arial" w:hAnsi="Arial"/>
          <w:i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predicts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risk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of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cardiovascular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disease:</w:t>
      </w:r>
      <w:r>
        <w:rPr>
          <w:rFonts w:ascii="Arial" w:hAnsi="Arial"/>
          <w:i/>
          <w:sz w:val="16"/>
          <w:szCs w:val="16"/>
        </w:rPr>
        <w:t xml:space="preserve"> a </w:t>
      </w:r>
      <w:r>
        <w:rPr>
          <w:rFonts w:ascii="Arial" w:hAnsi="Arial"/>
          <w:i/>
          <w:spacing w:val="-1"/>
          <w:sz w:val="16"/>
          <w:szCs w:val="16"/>
        </w:rPr>
        <w:t>systematic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review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56"/>
          <w:sz w:val="16"/>
          <w:szCs w:val="16"/>
        </w:rPr>
        <w:t xml:space="preserve"> </w:t>
      </w:r>
      <w:r>
        <w:rPr>
          <w:rFonts w:ascii="Arial" w:hAnsi="Arial"/>
          <w:i/>
          <w:sz w:val="16"/>
          <w:szCs w:val="16"/>
        </w:rPr>
        <w:t>meta-analysis.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PLoS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One. 2013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Aug 19;8(8):e71901.</w:t>
      </w:r>
    </w:p>
    <w:p>
      <w:pPr>
        <w:pStyle w:val="Normal"/>
        <w:spacing w:lineRule="auto" w:line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257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Warodomwichit et al. (2009).</w:t>
      </w:r>
      <w:r>
        <w:rPr>
          <w:rFonts w:ascii="Arial" w:hAnsi="Arial"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ADIPOQ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polymorphisms,</w:t>
      </w:r>
      <w:r>
        <w:rPr>
          <w:rFonts w:ascii="Arial" w:hAnsi="Arial"/>
          <w:i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monounsaturated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fatty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acids,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obesity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risk:</w:t>
      </w:r>
      <w:r>
        <w:rPr>
          <w:rFonts w:ascii="Arial" w:hAnsi="Arial"/>
          <w:i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the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GOLDN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study.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Obesity 17(3): 510-</w:t>
      </w:r>
      <w:r>
        <w:rPr>
          <w:rFonts w:ascii="Arial" w:hAnsi="Arial"/>
          <w:spacing w:val="10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517</w:t>
      </w:r>
    </w:p>
    <w:p>
      <w:pPr>
        <w:pStyle w:val="Normal"/>
        <w:spacing w:lineRule="auto" w:line="240" w:before="2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596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 xml:space="preserve">Hivert </w:t>
      </w:r>
      <w:r>
        <w:rPr>
          <w:rFonts w:ascii="Arial" w:hAnsi="Arial"/>
          <w:sz w:val="16"/>
          <w:szCs w:val="16"/>
        </w:rPr>
        <w:t>et</w:t>
      </w:r>
      <w:r>
        <w:rPr>
          <w:rFonts w:ascii="Arial" w:hAnsi="Arial"/>
          <w:spacing w:val="-1"/>
          <w:sz w:val="16"/>
          <w:szCs w:val="16"/>
        </w:rPr>
        <w:t xml:space="preserve"> al.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(2008).</w:t>
      </w:r>
      <w:r>
        <w:rPr>
          <w:rFonts w:ascii="Arial" w:hAnsi="Arial"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Common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 xml:space="preserve">variants </w:t>
      </w:r>
      <w:r>
        <w:rPr>
          <w:rFonts w:ascii="Arial" w:hAnsi="Arial"/>
          <w:i/>
          <w:sz w:val="16"/>
          <w:szCs w:val="16"/>
        </w:rPr>
        <w:t xml:space="preserve">in </w:t>
      </w:r>
      <w:r>
        <w:rPr>
          <w:rFonts w:ascii="Arial" w:hAnsi="Arial"/>
          <w:i/>
          <w:spacing w:val="-1"/>
          <w:sz w:val="16"/>
          <w:szCs w:val="16"/>
        </w:rPr>
        <w:t>the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adiponectin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gene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(ADIPOQ)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associated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with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plasma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adiponectin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levels,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type</w:t>
      </w:r>
      <w:r>
        <w:rPr>
          <w:rFonts w:ascii="Arial" w:hAnsi="Arial"/>
          <w:i/>
          <w:sz w:val="16"/>
          <w:szCs w:val="16"/>
        </w:rPr>
        <w:t xml:space="preserve"> 2 </w:t>
      </w:r>
      <w:r>
        <w:rPr>
          <w:rFonts w:ascii="Arial" w:hAnsi="Arial"/>
          <w:i/>
          <w:spacing w:val="-1"/>
          <w:sz w:val="16"/>
          <w:szCs w:val="16"/>
        </w:rPr>
        <w:t>diabetes,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07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diabetes-related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quantitative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traits: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the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Framingham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Offspring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Study.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Diabetes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57(12):</w:t>
      </w:r>
      <w:r>
        <w:rPr>
          <w:rFonts w:ascii="Arial" w:hAnsi="Arial"/>
          <w:spacing w:val="-4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3353-3359</w:t>
      </w:r>
    </w:p>
    <w:p>
      <w:pPr>
        <w:pStyle w:val="Normal"/>
        <w:spacing w:lineRule="auto" w:line="240"/>
        <w:ind w:hanging="0" w:left="108" w:right="596"/>
        <w:rPr>
          <w:rFonts w:ascii="Arial" w:hAnsi="Arial"/>
          <w:spacing w:val="-1"/>
        </w:rPr>
      </w:pPr>
      <w:r>
        <w:rPr>
          <w:rFonts w:ascii="Arial" w:hAnsi="Arial"/>
          <w:spacing w:val="-1"/>
        </w:rPr>
      </w:r>
    </w:p>
    <w:p>
      <w:pPr>
        <w:pStyle w:val="Normal"/>
        <w:spacing w:lineRule="auto" w:line="240" w:before="20" w:after="0"/>
        <w:ind w:hanging="0" w:left="108" w:right="620"/>
        <w:rPr>
          <w:sz w:val="16"/>
          <w:szCs w:val="16"/>
        </w:rPr>
      </w:pPr>
      <w:r>
        <w:rPr>
          <w:rFonts w:ascii="Arial" w:hAnsi="Arial"/>
          <w:color w:val="202020"/>
          <w:spacing w:val="-1"/>
          <w:sz w:val="16"/>
          <w:szCs w:val="16"/>
        </w:rPr>
        <w:t>Mahley RW.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Apolipoprotein </w:t>
      </w:r>
      <w:r>
        <w:rPr>
          <w:rFonts w:ascii="Arial" w:hAnsi="Arial"/>
          <w:i/>
          <w:color w:val="202020"/>
          <w:sz w:val="16"/>
          <w:szCs w:val="16"/>
        </w:rPr>
        <w:t>E: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 from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cardiovascular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disease </w:t>
      </w:r>
      <w:r>
        <w:rPr>
          <w:rFonts w:ascii="Arial" w:hAnsi="Arial"/>
          <w:i/>
          <w:color w:val="202020"/>
          <w:sz w:val="16"/>
          <w:szCs w:val="16"/>
        </w:rPr>
        <w:t>to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 neurodegenerative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disorders.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>J</w:t>
      </w:r>
      <w:r>
        <w:rPr>
          <w:rFonts w:ascii="Arial" w:hAnsi="Arial"/>
          <w:color w:val="202020"/>
          <w:spacing w:val="-1"/>
          <w:sz w:val="16"/>
          <w:szCs w:val="16"/>
        </w:rPr>
        <w:t xml:space="preserve"> Mol Med (Berl). 2016 Jul;94(7):739-46. </w:t>
      </w:r>
    </w:p>
    <w:p>
      <w:pPr>
        <w:pStyle w:val="Normal"/>
        <w:spacing w:lineRule="auto" w:line="240" w:before="20" w:after="0"/>
        <w:ind w:hanging="0" w:left="108" w:right="620"/>
        <w:rPr>
          <w:rFonts w:ascii="Arial" w:hAnsi="Arial"/>
          <w:color w:val="202020"/>
          <w:spacing w:val="-1"/>
        </w:rPr>
      </w:pPr>
      <w:r>
        <w:rPr>
          <w:rFonts w:ascii="Arial" w:hAnsi="Arial"/>
          <w:color w:val="202020"/>
          <w:spacing w:val="-1"/>
        </w:rPr>
      </w:r>
    </w:p>
    <w:p>
      <w:pPr>
        <w:pStyle w:val="Normal"/>
        <w:spacing w:lineRule="auto" w:line="240" w:before="20" w:after="0"/>
        <w:ind w:hanging="0" w:left="108" w:right="620"/>
        <w:rPr>
          <w:sz w:val="16"/>
          <w:szCs w:val="16"/>
        </w:rPr>
      </w:pPr>
      <w:r>
        <w:rPr>
          <w:rFonts w:ascii="Arial" w:hAnsi="Arial"/>
          <w:color w:val="202020"/>
          <w:spacing w:val="-1"/>
          <w:sz w:val="16"/>
          <w:szCs w:val="16"/>
        </w:rPr>
        <w:t>Iwai</w:t>
      </w:r>
      <w:r>
        <w:rPr>
          <w:rFonts w:ascii="Arial" w:hAnsi="Arial"/>
          <w:color w:val="202020"/>
          <w:spacing w:val="102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>C,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Akita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H,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Kanazawa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 xml:space="preserve">K, </w:t>
      </w:r>
      <w:r>
        <w:rPr>
          <w:rFonts w:ascii="Arial" w:hAnsi="Arial"/>
          <w:color w:val="202020"/>
          <w:spacing w:val="-1"/>
          <w:sz w:val="16"/>
          <w:szCs w:val="16"/>
        </w:rPr>
        <w:t>Shiga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 xml:space="preserve">N, </w:t>
      </w:r>
      <w:r>
        <w:rPr>
          <w:rFonts w:ascii="Arial" w:hAnsi="Arial"/>
          <w:color w:val="202020"/>
          <w:spacing w:val="-1"/>
          <w:sz w:val="16"/>
          <w:szCs w:val="16"/>
        </w:rPr>
        <w:t>Terashima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M,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Matsuda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Y,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Takai</w:t>
      </w:r>
      <w:r>
        <w:rPr>
          <w:rFonts w:ascii="Arial" w:hAnsi="Arial"/>
          <w:color w:val="202020"/>
          <w:sz w:val="16"/>
          <w:szCs w:val="16"/>
        </w:rPr>
        <w:t xml:space="preserve"> E, </w:t>
      </w:r>
      <w:r>
        <w:rPr>
          <w:rFonts w:ascii="Arial" w:hAnsi="Arial"/>
          <w:color w:val="202020"/>
          <w:spacing w:val="-1"/>
          <w:sz w:val="16"/>
          <w:szCs w:val="16"/>
        </w:rPr>
        <w:t>Miyamoto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Y,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Shimizu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M,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Kajiya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>T,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Hayashi</w:t>
      </w:r>
      <w:r>
        <w:rPr>
          <w:rFonts w:ascii="Arial" w:hAnsi="Arial"/>
          <w:color w:val="202020"/>
          <w:sz w:val="16"/>
          <w:szCs w:val="16"/>
        </w:rPr>
        <w:t xml:space="preserve"> T,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Yokoyama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>M.</w:t>
      </w:r>
    </w:p>
    <w:p>
      <w:pPr>
        <w:pStyle w:val="Normal"/>
        <w:spacing w:lineRule="auto" w:line="240"/>
        <w:ind w:hanging="0" w:left="108"/>
        <w:rPr>
          <w:sz w:val="16"/>
          <w:szCs w:val="16"/>
        </w:rPr>
      </w:pPr>
      <w:r>
        <w:rPr>
          <w:rFonts w:ascii="Arial" w:hAnsi="Arial"/>
          <w:i/>
          <w:color w:val="202020"/>
          <w:spacing w:val="-1"/>
          <w:sz w:val="16"/>
          <w:szCs w:val="16"/>
        </w:rPr>
        <w:t>Arg389Gly polymorphism</w:t>
      </w:r>
      <w:r>
        <w:rPr>
          <w:rFonts w:ascii="Arial" w:hAnsi="Arial"/>
          <w:i/>
          <w:color w:val="202020"/>
          <w:sz w:val="16"/>
          <w:szCs w:val="16"/>
        </w:rPr>
        <w:t xml:space="preserve"> of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 the human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beta1-adrenergic receptor</w:t>
      </w:r>
      <w:r>
        <w:rPr>
          <w:rFonts w:ascii="Arial" w:hAnsi="Arial"/>
          <w:i/>
          <w:color w:val="202020"/>
          <w:sz w:val="16"/>
          <w:szCs w:val="16"/>
        </w:rPr>
        <w:t xml:space="preserve"> in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patients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with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nonfatal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acute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myocardial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infarction.</w:t>
      </w:r>
      <w:r>
        <w:rPr>
          <w:rFonts w:ascii="Arial" w:hAnsi="Arial"/>
          <w:i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Am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Heart</w:t>
      </w:r>
      <w:r>
        <w:rPr>
          <w:rFonts w:ascii="Arial" w:hAnsi="Arial"/>
          <w:color w:val="202020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J.</w:t>
      </w:r>
      <w:r>
        <w:rPr>
          <w:rFonts w:ascii="Arial" w:hAnsi="Arial"/>
          <w:color w:val="202020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2003</w:t>
      </w:r>
    </w:p>
    <w:p>
      <w:pPr>
        <w:pStyle w:val="Normal"/>
        <w:spacing w:lineRule="auto" w:line="240" w:before="29" w:after="0"/>
        <w:ind w:hanging="0" w:left="108"/>
        <w:rPr>
          <w:sz w:val="16"/>
          <w:szCs w:val="16"/>
        </w:rPr>
      </w:pPr>
      <w:r>
        <w:rPr>
          <w:rFonts w:ascii="Arial" w:hAnsi="Arial"/>
          <w:color w:val="202020"/>
          <w:spacing w:val="-1"/>
          <w:sz w:val="16"/>
          <w:szCs w:val="16"/>
        </w:rPr>
        <w:t>Jul;146(1):106-9.</w:t>
      </w:r>
    </w:p>
    <w:p>
      <w:pPr>
        <w:pStyle w:val="Normal"/>
        <w:spacing w:lineRule="auto" w:line="240"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12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Willer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et al.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(2009).</w:t>
      </w:r>
      <w:r>
        <w:rPr>
          <w:rFonts w:ascii="Arial" w:hAnsi="Arial"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Six new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loci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associated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with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body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mass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index highlight</w:t>
      </w:r>
      <w:r>
        <w:rPr>
          <w:rFonts w:ascii="Arial" w:hAnsi="Arial"/>
          <w:i/>
          <w:sz w:val="16"/>
          <w:szCs w:val="16"/>
        </w:rPr>
        <w:t xml:space="preserve"> a </w:t>
      </w:r>
      <w:r>
        <w:rPr>
          <w:rFonts w:ascii="Arial" w:hAnsi="Arial"/>
          <w:i/>
          <w:spacing w:val="-1"/>
          <w:sz w:val="16"/>
          <w:szCs w:val="16"/>
        </w:rPr>
        <w:t>neuronal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influence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body weight regulation.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Nat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Genet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41(1):</w:t>
      </w:r>
      <w:r>
        <w:rPr>
          <w:rFonts w:ascii="Arial" w:hAnsi="Arial"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25-</w:t>
      </w:r>
      <w:r>
        <w:rPr>
          <w:rFonts w:ascii="Arial" w:hAnsi="Arial"/>
          <w:spacing w:val="121"/>
          <w:sz w:val="16"/>
          <w:szCs w:val="16"/>
        </w:rPr>
        <w:t xml:space="preserve"> </w:t>
      </w:r>
      <w:r>
        <w:rPr>
          <w:rFonts w:ascii="Arial" w:hAnsi="Arial"/>
          <w:spacing w:val="-4"/>
          <w:sz w:val="16"/>
          <w:szCs w:val="16"/>
        </w:rPr>
        <w:t>34</w:t>
      </w:r>
    </w:p>
    <w:p>
      <w:pPr>
        <w:pStyle w:val="Normal"/>
        <w:spacing w:lineRule="auto" w:line="276"/>
        <w:ind w:hanging="0" w:left="108" w:right="112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76"/>
        <w:ind w:hanging="0" w:left="108" w:right="112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2"/>
        <w:gridCol w:w="2210"/>
        <w:gridCol w:w="1847"/>
        <w:gridCol w:w="2318"/>
        <w:gridCol w:w="2512"/>
      </w:tblGrid>
      <w:tr>
        <w:trPr>
          <w:trHeight w:val="1262" w:hRule="exact"/>
        </w:trPr>
        <w:tc>
          <w:tcPr>
            <w:tcW w:w="12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ind w:hanging="0" w:left="32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10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7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hanging="0" w:left="33" w:right="592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  <w:bookmarkStart w:id="16" w:name="_Hlk83980272"/>
            <w:bookmarkEnd w:id="16"/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51" w:footer="388" w:bottom="93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  <w:u w:val="single"/>
        <w:lang w:val="it-IT"/>
      </w:rPr>
    </w:pPr>
    <w:r>
      <w:rPr>
        <w:rFonts w:cs="Arial" w:ascii="Arial" w:hAnsi="Arial"/>
        <w:sz w:val="16"/>
        <w:szCs w:val="16"/>
        <w:u w:val="single"/>
        <w:lang w:val="it-IT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181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8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  <w:u w:val="single"/>
        <w:lang w:val="it-IT"/>
      </w:rPr>
    </w:pPr>
    <w:r>
      <w:rPr>
        <w:rFonts w:cs="Arial" w:ascii="Arial" w:hAnsi="Arial"/>
        <w:sz w:val="16"/>
        <w:szCs w:val="16"/>
        <w:u w:val="single"/>
        <w:lang w:val="it-IT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181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8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92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30" w:after="0"/>
      <w:ind w:hanging="0" w:left="108"/>
      <w:outlineLvl w:val="1"/>
    </w:pPr>
    <w:rPr>
      <w:rFonts w:ascii="Calibri" w:hAnsi="Calibri" w:eastAsia="Calibri"/>
      <w:b/>
      <w:bCs/>
    </w:rPr>
  </w:style>
  <w:style w:type="paragraph" w:styleId="Heading3">
    <w:name w:val="Heading 3"/>
    <w:basedOn w:val="Normal"/>
    <w:uiPriority w:val="9"/>
    <w:unhideWhenUsed/>
    <w:qFormat/>
    <w:pPr>
      <w:ind w:hanging="0" w:left="108"/>
      <w:outlineLvl w:val="2"/>
    </w:pPr>
    <w:rPr>
      <w:rFonts w:ascii="Arial" w:hAnsi="Arial" w:eastAsia="Arial"/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stazioneCarattere" w:customStyle="1">
    <w:name w:val="Intestazione Carattere"/>
    <w:basedOn w:val="DefaultParagraphFont"/>
    <w:uiPriority w:val="99"/>
    <w:qFormat/>
    <w:rsid w:val="00217c8c"/>
    <w:rPr/>
  </w:style>
  <w:style w:type="character" w:styleId="PidipaginaCarattere" w:customStyle="1">
    <w:name w:val="Piè di pagina Carattere"/>
    <w:basedOn w:val="DefaultParagraphFont"/>
    <w:uiPriority w:val="99"/>
    <w:qFormat/>
    <w:rsid w:val="00217c8c"/>
    <w:rPr/>
  </w:style>
  <w:style w:type="character" w:styleId="PlaceholderText">
    <w:name w:val="Placeholder Text"/>
    <w:basedOn w:val="DefaultParagraphFont"/>
    <w:uiPriority w:val="99"/>
    <w:semiHidden/>
    <w:qFormat/>
    <w:rsid w:val="00f474bf"/>
    <w:rPr>
      <w:color w:val="808080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0" w:left="108"/>
    </w:pPr>
    <w:rPr>
      <w:rFonts w:ascii="Arial" w:hAnsi="Arial" w:eastAsia="Arial"/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217c8c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217c8c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40553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Application>LibreOffice/24.2.5.2$Linux_X86_64 LibreOffice_project/420$Build-2</Application>
  <AppVersion>15.0000</AppVersion>
  <Pages>8</Pages>
  <Words>1182</Words>
  <Characters>7283</Characters>
  <CharactersWithSpaces>8339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2021-09-15T14:13:00Z</dcterms:created>
  <dc:creator/>
  <dc:description/>
  <dc:language>en-US</dc:language>
  <cp:lastModifiedBy/>
  <dcterms:modified xsi:type="dcterms:W3CDTF">2024-11-12T12:40:01Z</dcterms:modified>
  <cp:revision>88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2021-09-15T00:00:00Z</vt:filetime>
  </property>
  <property fmtid="{D5CDD505-2E9C-101B-9397-08002B2CF9AE}" pid="3" name="LastSaved">
    <vt:filetime>2021-09-15T00:00:00Z</vt:filetime>
  </property>
</Properties>
</file>