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0" w:after="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spacing w:lineRule="atLeast" w:line="190"/>
        <w:ind w:hanging="0" w:left="108"/>
        <w:rPr>
          <w:rFonts w:ascii="Times New Roman" w:hAnsi="Times New Roman" w:eastAsia="Times New Roman" w:cs="Times New Roman"/>
          <w:sz w:val="19"/>
          <w:szCs w:val="19"/>
        </w:rPr>
      </w:pPr>
      <w:r>
        <w:rPr/>
        <mc:AlternateContent>
          <mc:Choice Requires="wpg">
            <w:drawing>
              <wp:inline distT="0" distB="0" distL="0" distR="0">
                <wp:extent cx="6476365" cy="127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400" cy="127800"/>
                          <a:chOff x="0" y="0"/>
                          <a:chExt cx="6476400" cy="127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476400" cy="127800"/>
                          </a:xfrm>
                        </wpg:grpSpPr>
                        <wps:wsp>
                          <wps:cNvPr id="2" name=""/>
                          <wps:cNvSpPr/>
                          <wps:spPr>
                            <a:xfrm>
                              <a:off x="0" y="0"/>
                              <a:ext cx="6476400" cy="127800"/>
                            </a:xfrm>
                            <a:custGeom>
                              <a:avLst/>
                              <a:gdLst>
                                <a:gd name="textAreaLeft" fmla="*/ 0 w 3671640"/>
                                <a:gd name="textAreaRight" fmla="*/ 3673080 w 3671640"/>
                                <a:gd name="textAreaTop" fmla="*/ 0 h 72360"/>
                                <a:gd name="textAreaBottom" fmla="*/ 73800 h 723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984" h="348">
                                  <a:moveTo>
                                    <a:pt x="0" y="347"/>
                                  </a:moveTo>
                                  <a:lnTo>
                                    <a:pt x="17983" y="347"/>
                                  </a:lnTo>
                                  <a:lnTo>
                                    <a:pt x="1798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4939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10.1pt;width:509.95pt;height:10.05pt" coordorigin="0,-202" coordsize="10199,201">
                <v:group id="shape_0" style="position:absolute;left:0;top:-202;width:10199;height:201"/>
              </v:group>
            </w:pict>
          </mc:Fallback>
        </mc:AlternateContent>
      </w:r>
    </w:p>
    <w:p>
      <w:pPr>
        <w:pStyle w:val="Normal"/>
        <w:spacing w:before="3" w:after="0"/>
        <w:rPr>
          <w:rFonts w:ascii="Times New Roman" w:hAnsi="Times New Roman" w:eastAsia="Times New Roman" w:cs="Times New Roman"/>
          <w:sz w:val="12"/>
          <w:szCs w:val="12"/>
        </w:rPr>
      </w:pPr>
      <w:r>
        <w:rPr>
          <w:rFonts w:eastAsia="Times New Roman" w:cs="Times New Roman" w:ascii="Times New Roman" w:hAnsi="Times New Roman"/>
          <w:sz w:val="12"/>
          <w:szCs w:val="12"/>
        </w:rPr>
      </w:r>
    </w:p>
    <w:p>
      <w:pPr>
        <w:pStyle w:val="Normal"/>
        <w:spacing w:before="27" w:after="0"/>
        <w:ind w:hanging="0" w:right="13"/>
        <w:jc w:val="center"/>
        <w:rPr>
          <w:rFonts w:ascii="Calibri" w:hAnsi="Calibri" w:eastAsia="Calibri" w:cs="Calibri"/>
          <w:sz w:val="36"/>
          <w:szCs w:val="36"/>
        </w:rPr>
      </w:pPr>
      <w:r>
        <w:rPr>
          <w:rFonts w:eastAsia="Calibri" w:cs="Calibri"/>
          <w:b/>
          <w:color w:val="C49391"/>
          <w:spacing w:val="-1"/>
          <w:sz w:val="36"/>
          <w:szCs w:val="36"/>
        </w:rPr>
        <w:t>test_title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6"/>
          <w:szCs w:val="16"/>
        </w:rPr>
      </w:pPr>
      <w:r>
        <w:rPr>
          <w:rFonts w:eastAsia="Calibri" w:cs="Calibri"/>
          <w:b/>
          <w:bCs/>
          <w:sz w:val="16"/>
          <w:szCs w:val="16"/>
        </w:rPr>
      </w:r>
    </w:p>
    <w:p>
      <w:pPr>
        <w:pStyle w:val="Normal"/>
        <w:spacing w:lineRule="atLeast" w:line="190"/>
        <w:ind w:hanging="0" w:left="125"/>
        <w:rPr>
          <w:rFonts w:ascii="Calibri" w:hAnsi="Calibri" w:eastAsia="Calibri" w:cs="Calibri"/>
          <w:sz w:val="19"/>
          <w:szCs w:val="19"/>
        </w:rPr>
      </w:pPr>
      <w:r>
        <w:rPr/>
        <mc:AlternateContent>
          <mc:Choice Requires="wpg">
            <w:drawing>
              <wp:inline distT="0" distB="0" distL="0" distR="0">
                <wp:extent cx="6465570" cy="127635"/>
                <wp:effectExtent l="0" t="0" r="0" b="0"/>
                <wp:docPr id="3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5600" cy="127800"/>
                          <a:chOff x="0" y="0"/>
                          <a:chExt cx="6465600" cy="1278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20" cy="127800"/>
                          </a:xfrm>
                        </wpg:grpSpPr>
                        <wps:wsp>
                          <wps:cNvPr id="4" name=""/>
                          <wps:cNvSpPr/>
                          <wps:spPr>
                            <a:xfrm>
                              <a:off x="0" y="0"/>
                              <a:ext cx="720" cy="127800"/>
                            </a:xfrm>
                            <a:custGeom>
                              <a:avLst/>
                              <a:gdLst>
                                <a:gd name="textAreaLeft" fmla="*/ 0 w 360"/>
                                <a:gd name="textAreaRight" fmla="*/ 5760 w 360"/>
                                <a:gd name="textAreaTop" fmla="*/ 0 h 72360"/>
                                <a:gd name="textAreaBottom" fmla="*/ 73800 h 723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" h="348">
                                  <a:moveTo>
                                    <a:pt x="0" y="34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4939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  <wpg:grpSp>
                        <wpg:cNvGrpSpPr/>
                        <wpg:grpSpPr>
                          <a:xfrm>
                            <a:off x="0" y="0"/>
                            <a:ext cx="6465600" cy="127800"/>
                          </a:xfrm>
                        </wpg:grpSpPr>
                        <wps:wsp>
                          <wps:cNvPr id="5" name=""/>
                          <wps:cNvSpPr/>
                          <wps:spPr>
                            <a:xfrm>
                              <a:off x="0" y="0"/>
                              <a:ext cx="6465600" cy="127800"/>
                            </a:xfrm>
                            <a:custGeom>
                              <a:avLst/>
                              <a:gdLst>
                                <a:gd name="textAreaLeft" fmla="*/ 0 w 3665520"/>
                                <a:gd name="textAreaRight" fmla="*/ 3666960 w 3665520"/>
                                <a:gd name="textAreaTop" fmla="*/ 0 h 72360"/>
                                <a:gd name="textAreaBottom" fmla="*/ 73800 h 723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17954" h="348">
                                  <a:moveTo>
                                    <a:pt x="0" y="347"/>
                                  </a:moveTo>
                                  <a:lnTo>
                                    <a:pt x="17953" y="347"/>
                                  </a:lnTo>
                                  <a:lnTo>
                                    <a:pt x="17953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4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4939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id="shape_0" alt="Shape2" style="position:absolute;margin-left:0pt;margin-top:-10.1pt;width:509.1pt;height:10.05pt" coordorigin="0,-202" coordsize="10182,201">
                <v:group id="shape_0" style="position:absolute;left:0;top:-202;width:1;height:201"/>
                <v:group id="shape_0" style="position:absolute;left:0;top:-202;width:10182;height:201"/>
              </v:group>
            </w:pict>
          </mc:Fallback>
        </mc:AlternateContent>
      </w:r>
    </w:p>
    <w:p>
      <w:pPr>
        <w:pStyle w:val="Normal"/>
        <w:spacing w:before="10" w:after="0"/>
        <w:rPr>
          <w:rFonts w:ascii="Calibri" w:hAnsi="Calibri" w:eastAsia="Calibri" w:cs="Calibri"/>
          <w:b/>
          <w:bCs/>
          <w:sz w:val="20"/>
          <w:szCs w:val="20"/>
        </w:rPr>
      </w:pPr>
      <w:r>
        <w:rPr>
          <w:rFonts w:eastAsia="Calibri" w:cs="Calibri"/>
          <w:b/>
          <w:bCs/>
          <w:sz w:val="20"/>
          <w:szCs w:val="20"/>
        </w:rPr>
      </w:r>
    </w:p>
    <w:p>
      <w:pPr>
        <w:pStyle w:val="Normal"/>
        <w:spacing w:before="58" w:after="0"/>
        <w:ind w:hanging="0" w:left="108"/>
        <w:rPr>
          <w:rFonts w:ascii="Arial" w:hAnsi="Arial" w:eastAsia="Arial" w:cs="Arial"/>
          <w:sz w:val="28"/>
          <w:szCs w:val="28"/>
        </w:rPr>
      </w:pPr>
      <w:r>
        <w:rPr>
          <w:rFonts w:ascii="Arial" w:hAnsi="Arial"/>
          <w:b/>
          <w:spacing w:val="-1"/>
          <w:sz w:val="32"/>
        </w:rPr>
        <w:t>Sig.ra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28"/>
        </w:rPr>
        <w:t>&lt;nome&gt;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9"/>
          <w:szCs w:val="29"/>
        </w:rPr>
      </w:pPr>
      <w:r>
        <w:rPr>
          <w:rFonts w:eastAsia="Arial" w:cs="Arial" w:ascii="Arial" w:hAnsi="Arial"/>
          <w:b/>
          <w:bCs/>
          <w:sz w:val="29"/>
          <w:szCs w:val="29"/>
        </w:rPr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529"/>
        <w:gridCol w:w="3321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529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529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GESTAZIONE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&lt;gestazione&gt;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529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72" w:after="0"/>
        <w:ind w:firstLine="144" w:left="1569" w:right="1755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spacing w:before="8" w:after="0"/>
        <w:rPr>
          <w:rFonts w:ascii="Arial" w:hAnsi="Arial" w:eastAsia="Arial" w:cs="Arial"/>
          <w:lang w:val="it-IT"/>
        </w:rPr>
      </w:pPr>
      <w:r>
        <w:rPr>
          <w:rFonts w:eastAsia="Arial" w:cs="Arial" w:ascii="Arial" w:hAnsi="Arial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hanging="0" w:right="65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C39291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C39291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C39291"/>
                <w:sz w:val="24"/>
                <w:szCs w:val="24"/>
              </w:rPr>
            </w:pPr>
            <w:r>
              <w:rPr>
                <w:rFonts w:ascii="Arial" w:hAnsi="Arial"/>
                <w:b/>
                <w:color w:val="C39291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before="8" w:after="0"/>
        <w:rPr>
          <w:rFonts w:ascii="Arial" w:hAnsi="Arial" w:eastAsia="Arial" w:cs="Arial"/>
          <w:sz w:val="26"/>
          <w:szCs w:val="26"/>
        </w:rPr>
      </w:pPr>
      <w:r>
        <w:rPr>
          <w:rFonts w:eastAsia="Arial" w:cs="Arial" w:ascii="Arial" w:hAnsi="Arial"/>
          <w:sz w:val="26"/>
          <w:szCs w:val="26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C39291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39291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39291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23"/>
          <w:szCs w:val="23"/>
        </w:rPr>
      </w:pPr>
      <w:r>
        <w:rPr>
          <w:rFonts w:eastAsia="Arial" w:cs="Arial" w:ascii="Arial" w:hAnsi="Arial"/>
          <w:sz w:val="23"/>
          <w:szCs w:val="23"/>
        </w:rPr>
      </w:r>
    </w:p>
    <w:p>
      <w:pPr>
        <w:pStyle w:val="Normal"/>
        <w:spacing w:lineRule="atLeast" w:line="200" w:before="3" w:after="0"/>
        <w:ind w:hanging="0" w:left="124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593090"/>
            <wp:effectExtent l="0" t="0" r="0" b="0"/>
            <wp:docPr id="6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4998085</wp:posOffset>
            </wp:positionH>
            <wp:positionV relativeFrom="paragraph">
              <wp:posOffset>20320</wp:posOffset>
            </wp:positionV>
            <wp:extent cx="1583690" cy="557530"/>
            <wp:effectExtent l="0" t="0" r="0" b="0"/>
            <wp:wrapSquare wrapText="largest"/>
            <wp:docPr id="7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6" w:after="0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Normal"/>
        <w:spacing w:lineRule="auto" w:line="276" w:before="56" w:after="0"/>
        <w:ind w:hanging="0" w:left="108"/>
        <w:rPr>
          <w:rFonts w:ascii="Calibri" w:hAnsi="Calibri" w:eastAsia="Calibri" w:cs="Calibri"/>
          <w:lang w:val="it-IT"/>
        </w:rPr>
      </w:pPr>
      <w:r>
        <w:rPr>
          <w:b/>
          <w:u w:val="single" w:color="000000"/>
          <w:lang w:val="it-IT"/>
        </w:rPr>
        <w:t>N.B.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La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sintesi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sopra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riportata</w:t>
      </w:r>
      <w:r>
        <w:rPr>
          <w:b/>
          <w:spacing w:val="48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non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u w:val="single" w:color="000000"/>
          <w:lang w:val="it-IT"/>
        </w:rPr>
        <w:t>è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una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clinica</w:t>
      </w:r>
      <w:r>
        <w:rPr>
          <w:b/>
          <w:spacing w:val="47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(le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diagnosi</w:t>
      </w:r>
      <w:r>
        <w:rPr>
          <w:b/>
          <w:spacing w:val="44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cliniche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spettano</w:t>
      </w:r>
      <w:r>
        <w:rPr>
          <w:b/>
          <w:spacing w:val="46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esclusivamente</w:t>
      </w:r>
      <w:r>
        <w:rPr>
          <w:b/>
          <w:spacing w:val="45"/>
          <w:u w:val="single" w:color="000000"/>
          <w:lang w:val="it-IT"/>
        </w:rPr>
        <w:t xml:space="preserve"> </w:t>
      </w:r>
      <w:r>
        <w:rPr>
          <w:b/>
          <w:spacing w:val="-1"/>
          <w:u w:val="single" w:color="000000"/>
          <w:lang w:val="it-IT"/>
        </w:rPr>
        <w:t>al</w:t>
      </w:r>
      <w:r>
        <w:rPr>
          <w:b/>
          <w:spacing w:val="40"/>
          <w:lang w:val="it-IT"/>
        </w:rPr>
        <w:t xml:space="preserve"> </w:t>
      </w:r>
      <w:r>
        <w:rPr>
          <w:b/>
          <w:u w:val="single" w:color="000000"/>
          <w:lang w:val="it-IT"/>
        </w:rPr>
        <w:t>medico).</w:t>
      </w:r>
      <w:r>
        <w:br w:type="page"/>
      </w:r>
    </w:p>
    <w:p>
      <w:pPr>
        <w:pStyle w:val="Heading1"/>
        <w:spacing w:before="0" w:after="0"/>
        <w:ind w:hanging="0" w:left="2000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1"/>
        <w:ind w:hanging="0" w:left="2000"/>
        <w:rPr>
          <w:b w:val="false"/>
          <w:bCs w:val="false"/>
          <w:lang w:val="it-IT"/>
        </w:rPr>
      </w:pPr>
      <w:r>
        <w:rPr>
          <w:color w:val="C49391"/>
          <w:spacing w:val="-1"/>
          <w:lang w:val="it-IT"/>
        </w:rPr>
        <w:t>PREDISPOSIZIONE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GENETICA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ALL'AUMENTO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DI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PESO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10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before="4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  <w:bookmarkStart w:id="0" w:name="_Hlk83979477"/>
            <w:bookmarkEnd w:id="0"/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9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" w:name="_Hlk83979518"/>
            <w:bookmarkStart w:id="2" w:name="_Hlk83979518"/>
            <w:bookmarkEnd w:id="2"/>
          </w:p>
        </w:tc>
      </w:tr>
    </w:tbl>
    <w:p>
      <w:pPr>
        <w:pStyle w:val="Heading1"/>
        <w:ind w:hanging="0" w:left="2130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  <w:r>
        <w:br w:type="page"/>
      </w:r>
    </w:p>
    <w:p>
      <w:pPr>
        <w:pStyle w:val="Heading1"/>
        <w:spacing w:before="0" w:after="0"/>
        <w:ind w:hanging="0" w:left="2130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1"/>
        <w:spacing w:before="0" w:after="0"/>
        <w:ind w:hanging="0" w:left="2130"/>
        <w:rPr>
          <w:b w:val="false"/>
          <w:bCs w:val="false"/>
          <w:lang w:val="it-IT"/>
        </w:rPr>
      </w:pPr>
      <w:r>
        <w:rPr>
          <w:color w:val="C49391"/>
          <w:spacing w:val="-1"/>
          <w:lang w:val="it-IT"/>
        </w:rPr>
        <w:t>PREDISPOSIZIONE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GENETICA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AL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DIABETE</w:t>
      </w:r>
      <w:r>
        <w:rPr>
          <w:color w:val="C49391"/>
          <w:lang w:val="it-IT"/>
        </w:rPr>
        <w:t xml:space="preserve"> </w:t>
      </w:r>
      <w:r>
        <w:rPr>
          <w:color w:val="C49391"/>
          <w:spacing w:val="-1"/>
          <w:lang w:val="it-IT"/>
        </w:rPr>
        <w:t>DI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TIPO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lang w:val="it-IT"/>
        </w:rPr>
        <w:t>2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le 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che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descrive</w:t>
      </w:r>
      <w:r>
        <w:rPr>
          <w:color w:val="3D3939"/>
          <w:spacing w:val="-7"/>
          <w:lang w:val="it-IT"/>
        </w:rPr>
        <w:t xml:space="preserve"> </w:t>
      </w:r>
      <w:r>
        <w:rPr>
          <w:color w:val="3D3939"/>
          <w:spacing w:val="-1"/>
          <w:lang w:val="it-IT"/>
        </w:rPr>
        <w:t>il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mal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funzionamento</w:t>
      </w:r>
      <w:r>
        <w:rPr>
          <w:color w:val="3D3939"/>
          <w:spacing w:val="-7"/>
          <w:lang w:val="it-IT"/>
        </w:rPr>
        <w:t xml:space="preserve"> </w:t>
      </w:r>
      <w:r>
        <w:rPr>
          <w:color w:val="3D3939"/>
          <w:spacing w:val="-2"/>
          <w:lang w:val="it-IT"/>
        </w:rPr>
        <w:t>delle</w:t>
      </w:r>
      <w:r>
        <w:rPr>
          <w:color w:val="3D3939"/>
          <w:spacing w:val="52"/>
          <w:w w:val="99"/>
          <w:lang w:val="it-IT"/>
        </w:rPr>
        <w:t xml:space="preserve"> </w:t>
      </w:r>
      <w:r>
        <w:rPr>
          <w:color w:val="3D3939"/>
          <w:spacing w:val="-1"/>
          <w:lang w:val="it-IT"/>
        </w:rPr>
        <w:t>cellule</w:t>
      </w:r>
      <w:r>
        <w:rPr>
          <w:color w:val="3D3939"/>
          <w:spacing w:val="-8"/>
          <w:lang w:val="it-IT"/>
        </w:rPr>
        <w:t xml:space="preserve"> </w:t>
      </w:r>
      <w:r>
        <w:rPr>
          <w:color w:val="3D3939"/>
          <w:spacing w:val="-1"/>
          <w:lang w:val="it-IT"/>
        </w:rPr>
        <w:t>del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corpo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ad</w:t>
      </w:r>
      <w:r>
        <w:rPr>
          <w:color w:val="3D3939"/>
          <w:spacing w:val="-8"/>
          <w:lang w:val="it-IT"/>
        </w:rPr>
        <w:t xml:space="preserve"> </w:t>
      </w:r>
      <w:r>
        <w:rPr>
          <w:color w:val="3D3939"/>
          <w:spacing w:val="-1"/>
          <w:lang w:val="it-IT"/>
        </w:rPr>
        <w:t>interagire</w:t>
      </w:r>
      <w:r>
        <w:rPr>
          <w:color w:val="3D3939"/>
          <w:spacing w:val="-8"/>
          <w:lang w:val="it-IT"/>
        </w:rPr>
        <w:t xml:space="preserve"> </w:t>
      </w:r>
      <w:r>
        <w:rPr>
          <w:color w:val="3D3939"/>
          <w:spacing w:val="-1"/>
          <w:lang w:val="it-IT"/>
        </w:rPr>
        <w:t>con</w:t>
      </w:r>
      <w:r>
        <w:rPr>
          <w:color w:val="3D3939"/>
          <w:spacing w:val="-6"/>
          <w:lang w:val="it-IT"/>
        </w:rPr>
        <w:t xml:space="preserve"> </w:t>
      </w:r>
      <w:r>
        <w:rPr>
          <w:color w:val="3D3939"/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hanging="0" w:right="99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lineRule="auto" w:line="288"/>
        <w:ind w:hanging="0" w:right="99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  <w:bookmarkStart w:id="3" w:name="_Hlk83979565"/>
            <w:bookmarkEnd w:id="3"/>
          </w:p>
        </w:tc>
      </w:tr>
    </w:tbl>
    <w:p>
      <w:pPr>
        <w:pStyle w:val="Normal"/>
        <w:spacing w:before="6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p>
      <w:pPr>
        <w:pStyle w:val="Normal"/>
        <w:spacing w:before="4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rFonts w:ascii="Calibri" w:hAnsi="Calibri" w:eastAsia="Calibri" w:cs="Calibri"/>
          <w:lang w:val="it-IT"/>
        </w:rPr>
      </w:pPr>
      <w:r>
        <w:rPr>
          <w:rFonts w:eastAsia="Calibri" w:cs="Calibri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4" w:name="_Hlk83979627"/>
            <w:bookmarkStart w:id="5" w:name="_Hlk83979627"/>
            <w:bookmarkEnd w:id="5"/>
          </w:p>
        </w:tc>
      </w:tr>
    </w:tbl>
    <w:p>
      <w:pPr>
        <w:pStyle w:val="Heading1"/>
        <w:ind w:hanging="0" w:left="1152"/>
        <w:rPr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Heading1"/>
        <w:spacing w:before="0" w:after="0"/>
        <w:ind w:hanging="0" w:left="1152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spacing w:before="0" w:after="0"/>
        <w:ind w:hanging="0" w:left="1152"/>
        <w:rPr>
          <w:b w:val="false"/>
          <w:bCs w:val="false"/>
        </w:rPr>
      </w:pPr>
      <w:r>
        <w:rPr>
          <w:color w:val="C49391"/>
          <w:spacing w:val="-1"/>
        </w:rPr>
        <w:t>PREDISPOSIZIONE</w:t>
      </w:r>
      <w:r>
        <w:rPr>
          <w:color w:val="C49391"/>
          <w:spacing w:val="1"/>
        </w:rPr>
        <w:t xml:space="preserve"> </w:t>
      </w:r>
      <w:r>
        <w:rPr>
          <w:color w:val="C49391"/>
          <w:spacing w:val="-1"/>
        </w:rPr>
        <w:t>GENETICA</w:t>
      </w:r>
      <w:r>
        <w:rPr>
          <w:color w:val="C49391"/>
          <w:spacing w:val="1"/>
        </w:rPr>
        <w:t xml:space="preserve"> </w:t>
      </w:r>
      <w:r>
        <w:rPr>
          <w:color w:val="C49391"/>
          <w:spacing w:val="-1"/>
        </w:rPr>
        <w:t>ALLE</w:t>
      </w:r>
      <w:r>
        <w:rPr>
          <w:color w:val="C49391"/>
          <w:spacing w:val="1"/>
        </w:rPr>
        <w:t xml:space="preserve"> </w:t>
      </w:r>
      <w:r>
        <w:rPr>
          <w:color w:val="C49391"/>
          <w:spacing w:val="-1"/>
        </w:rPr>
        <w:t>PATOLOGIE</w:t>
      </w:r>
      <w:r>
        <w:rPr>
          <w:color w:val="C49391"/>
          <w:spacing w:val="2"/>
        </w:rPr>
        <w:t xml:space="preserve"> </w:t>
      </w:r>
      <w:r>
        <w:rPr>
          <w:color w:val="C49391"/>
          <w:spacing w:val="-1"/>
        </w:rPr>
        <w:t>CARDIOVASCOLARI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BodyText"/>
        <w:spacing w:lineRule="auto" w:line="271"/>
        <w:ind w:hanging="0" w:left="0" w:right="117"/>
        <w:jc w:val="both"/>
        <w:rPr>
          <w:spacing w:val="-1"/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patologie</w:t>
      </w:r>
      <w:r>
        <w:rPr>
          <w:b/>
          <w:spacing w:val="-8"/>
          <w:lang w:val="it-IT"/>
        </w:rPr>
        <w:t xml:space="preserve"> </w:t>
      </w:r>
      <w:r>
        <w:rPr>
          <w:b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BodyText"/>
        <w:spacing w:lineRule="auto" w:line="271"/>
        <w:ind w:hanging="0" w:left="0" w:right="117"/>
        <w:jc w:val="both"/>
        <w:rPr>
          <w:spacing w:val="-1"/>
          <w:lang w:val="it-IT"/>
        </w:rPr>
      </w:pPr>
      <w:r>
        <w:rPr>
          <w:spacing w:val="-1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7"/>
        <w:gridCol w:w="8822"/>
      </w:tblGrid>
      <w:tr>
        <w:trPr>
          <w:trHeight w:val="327" w:hRule="atLeast"/>
        </w:trPr>
        <w:tc>
          <w:tcPr>
            <w:tcW w:w="152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2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  <w:bookmarkStart w:id="6" w:name="_Hlk83979719"/>
            <w:bookmarkEnd w:id="6"/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5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rPr>
          <w:rFonts w:ascii="Calibri" w:hAnsi="Calibri" w:eastAsia="Calibri" w:cs="Calibri"/>
          <w:lang w:val="it-IT"/>
        </w:rPr>
      </w:pPr>
      <w:r>
        <w:rPr>
          <w:rFonts w:eastAsia="Calibri" w:cs="Calibri"/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8"/>
        <w:gridCol w:w="1979"/>
        <w:gridCol w:w="2272"/>
        <w:gridCol w:w="3860"/>
      </w:tblGrid>
      <w:tr>
        <w:trPr>
          <w:trHeight w:val="454" w:hRule="atLeast"/>
        </w:trPr>
        <w:tc>
          <w:tcPr>
            <w:tcW w:w="241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51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6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7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6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7" w:name="_Hlk83979744"/>
            <w:bookmarkStart w:id="8" w:name="_Hlk83979744"/>
            <w:bookmarkEnd w:id="8"/>
          </w:p>
        </w:tc>
      </w:tr>
    </w:tbl>
    <w:p>
      <w:pPr>
        <w:pStyle w:val="Normal"/>
        <w:spacing w:before="69" w:after="0"/>
        <w:jc w:val="center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tbl>
      <w:tblPr>
        <w:tblStyle w:val="Grigliatabella"/>
        <w:tblW w:w="10526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50"/>
        <w:gridCol w:w="2612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8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69" w:after="0"/>
        <w:jc w:val="left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  <w:r>
        <w:br w:type="page"/>
      </w:r>
    </w:p>
    <w:p>
      <w:pPr>
        <w:pStyle w:val="Normal"/>
        <w:spacing w:before="0" w:after="0"/>
        <w:jc w:val="center"/>
        <w:rPr>
          <w:rFonts w:ascii="Arial" w:hAnsi="Arial" w:eastAsia="Arial" w:cs="Arial"/>
          <w:sz w:val="24"/>
          <w:szCs w:val="24"/>
        </w:rPr>
      </w:pPr>
      <w:r>
        <w:rPr>
          <w:rFonts w:eastAsia="Arial" w:cs="Arial" w:ascii="Arial" w:hAnsi="Arial"/>
          <w:sz w:val="24"/>
          <w:szCs w:val="24"/>
        </w:rPr>
      </w:r>
    </w:p>
    <w:p>
      <w:pPr>
        <w:pStyle w:val="Normal"/>
        <w:spacing w:before="0" w:after="0"/>
        <w:jc w:val="center"/>
        <w:rPr>
          <w:rFonts w:ascii="Arial" w:hAnsi="Arial" w:eastAsia="Arial" w:cs="Arial"/>
          <w:sz w:val="24"/>
          <w:szCs w:val="24"/>
        </w:rPr>
      </w:pPr>
      <w:r>
        <w:rPr>
          <w:rFonts w:ascii="Arial" w:hAnsi="Arial"/>
          <w:b/>
          <w:color w:val="C49391"/>
          <w:spacing w:val="-1"/>
          <w:sz w:val="24"/>
        </w:rPr>
        <w:t>PREDISPOSIZIONE</w:t>
      </w:r>
      <w:r>
        <w:rPr>
          <w:rFonts w:ascii="Arial" w:hAnsi="Arial"/>
          <w:b/>
          <w:color w:val="C49391"/>
          <w:spacing w:val="1"/>
          <w:sz w:val="24"/>
        </w:rPr>
        <w:t xml:space="preserve"> </w:t>
      </w:r>
      <w:r>
        <w:rPr>
          <w:rFonts w:ascii="Arial" w:hAnsi="Arial"/>
          <w:b/>
          <w:color w:val="C49391"/>
          <w:spacing w:val="-1"/>
          <w:sz w:val="24"/>
        </w:rPr>
        <w:t>GENETICA</w:t>
      </w:r>
      <w:r>
        <w:rPr>
          <w:rFonts w:ascii="Arial" w:hAnsi="Arial"/>
          <w:b/>
          <w:color w:val="C49391"/>
          <w:spacing w:val="1"/>
          <w:sz w:val="24"/>
        </w:rPr>
        <w:t xml:space="preserve"> </w:t>
      </w:r>
      <w:r>
        <w:rPr>
          <w:rFonts w:ascii="Arial" w:hAnsi="Arial"/>
          <w:b/>
          <w:color w:val="C49391"/>
          <w:spacing w:val="-1"/>
          <w:sz w:val="24"/>
        </w:rPr>
        <w:t>ALLE</w:t>
      </w:r>
      <w:r>
        <w:rPr>
          <w:rFonts w:ascii="Arial" w:hAnsi="Arial"/>
          <w:b/>
          <w:color w:val="C49391"/>
          <w:spacing w:val="1"/>
          <w:sz w:val="24"/>
        </w:rPr>
        <w:t xml:space="preserve"> </w:t>
      </w:r>
      <w:r>
        <w:rPr>
          <w:rFonts w:ascii="Arial" w:hAnsi="Arial"/>
          <w:b/>
          <w:color w:val="C49391"/>
          <w:spacing w:val="-1"/>
          <w:sz w:val="24"/>
        </w:rPr>
        <w:t>INTOLLERANZE</w:t>
      </w:r>
    </w:p>
    <w:p>
      <w:pPr>
        <w:pStyle w:val="Normal"/>
        <w:spacing w:before="6" w:after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6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9"/>
          <w:lang w:val="it-IT"/>
        </w:rPr>
        <w:t xml:space="preserve"> </w:t>
      </w:r>
      <w:bookmarkStart w:id="9" w:name="_Hlk83979830"/>
      <w:r>
        <w:rPr>
          <w:b w:val="false"/>
          <w:bCs w:val="false"/>
          <w:spacing w:val="-8"/>
          <w:lang w:val="it-IT"/>
        </w:rPr>
        <w:t>testo_intolleranze_lungo</w:t>
      </w:r>
      <w:bookmarkEnd w:id="9"/>
    </w:p>
    <w:p>
      <w:pPr>
        <w:pStyle w:val="Normal"/>
        <w:spacing w:before="10" w:after="0"/>
        <w:rPr>
          <w:rFonts w:ascii="Arial" w:hAnsi="Arial" w:eastAsia="Arial" w:cs="Arial"/>
          <w:b/>
          <w:bCs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sz w:val="19"/>
          <w:szCs w:val="19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0" w:name="_Hlk83979894"/>
            <w:bookmarkStart w:id="11" w:name="_Hlk83979894"/>
            <w:bookmarkEnd w:id="11"/>
          </w:p>
        </w:tc>
      </w:tr>
    </w:tbl>
    <w:p>
      <w:pPr>
        <w:pStyle w:val="Normal"/>
        <w:rPr>
          <w:rFonts w:ascii="Arial" w:hAnsi="Arial" w:eastAsia="Arial"/>
          <w:b/>
          <w:bCs/>
          <w:color w:val="C49391"/>
          <w:spacing w:val="-1"/>
          <w:sz w:val="24"/>
          <w:szCs w:val="24"/>
          <w:lang w:val="it-IT"/>
        </w:rPr>
      </w:pPr>
      <w:r>
        <w:rPr>
          <w:rFonts w:eastAsia="Arial" w:ascii="Arial" w:hAnsi="Arial"/>
          <w:b/>
          <w:bCs/>
          <w:color w:val="C49391"/>
          <w:spacing w:val="-1"/>
          <w:sz w:val="24"/>
          <w:szCs w:val="24"/>
          <w:lang w:val="it-IT"/>
        </w:rPr>
      </w:r>
    </w:p>
    <w:tbl>
      <w:tblPr>
        <w:tblStyle w:val="TableGrid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0"/>
        <w:gridCol w:w="2050"/>
        <w:gridCol w:w="2160"/>
        <w:gridCol w:w="1913"/>
        <w:gridCol w:w="2437"/>
      </w:tblGrid>
      <w:tr>
        <w:trPr>
          <w:trHeight w:val="454" w:hRule="atLeast"/>
        </w:trPr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08080" w:themeFill="background1" w:themeFillShade="80" w:val="clea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08080" w:themeFill="background1" w:themeFillShade="80" w:val="clea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08080" w:themeFill="background1" w:themeFillShade="80" w:val="clea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sz w:val="22"/>
                <w:szCs w:val="22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sz w:val="22"/>
                <w:szCs w:val="22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/>
          <w:b/>
          <w:bCs/>
          <w:color w:val="C49391"/>
          <w:spacing w:val="-1"/>
          <w:sz w:val="24"/>
          <w:szCs w:val="24"/>
          <w:lang w:val="it-IT"/>
        </w:rPr>
      </w:pPr>
      <w:r>
        <w:rPr>
          <w:rFonts w:eastAsia="Arial" w:ascii="Arial" w:hAnsi="Arial"/>
          <w:b/>
          <w:bCs/>
          <w:color w:val="C49391"/>
          <w:spacing w:val="-1"/>
          <w:sz w:val="24"/>
          <w:szCs w:val="24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0"/>
        <w:gridCol w:w="2427"/>
        <w:gridCol w:w="2356"/>
        <w:gridCol w:w="1340"/>
        <w:gridCol w:w="2437"/>
      </w:tblGrid>
      <w:tr>
        <w:trPr>
          <w:trHeight w:val="454" w:hRule="atLeast"/>
        </w:trPr>
        <w:tc>
          <w:tcPr>
            <w:tcW w:w="179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>
          <w:rFonts w:ascii="Arial" w:hAnsi="Arial" w:eastAsia="Arial"/>
          <w:b/>
          <w:bCs/>
          <w:color w:val="C49391"/>
          <w:spacing w:val="-1"/>
          <w:sz w:val="24"/>
          <w:szCs w:val="24"/>
          <w:lang w:val="it-IT"/>
        </w:rPr>
      </w:pPr>
      <w:r>
        <w:rPr>
          <w:rFonts w:eastAsia="Arial" w:ascii="Arial" w:hAnsi="Arial"/>
          <w:b/>
          <w:bCs/>
          <w:color w:val="C49391"/>
          <w:spacing w:val="-1"/>
          <w:sz w:val="24"/>
          <w:szCs w:val="24"/>
          <w:lang w:val="it-IT"/>
        </w:rPr>
      </w:r>
      <w:r>
        <w:br w:type="page"/>
      </w:r>
    </w:p>
    <w:p>
      <w:pPr>
        <w:pStyle w:val="Heading1"/>
        <w:spacing w:before="0" w:after="0"/>
        <w:ind w:hanging="142" w:left="2514" w:right="2024"/>
        <w:jc w:val="center"/>
        <w:rPr>
          <w:color w:val="C49391"/>
          <w:spacing w:val="-1"/>
          <w:lang w:val="it-IT"/>
        </w:rPr>
      </w:pPr>
      <w:r>
        <w:rPr>
          <w:color w:val="C49391"/>
          <w:spacing w:val="-1"/>
          <w:lang w:val="it-IT"/>
        </w:rPr>
      </w:r>
    </w:p>
    <w:p>
      <w:pPr>
        <w:pStyle w:val="Heading1"/>
        <w:spacing w:before="0" w:after="0"/>
        <w:ind w:hanging="142" w:left="2514" w:right="2024"/>
        <w:jc w:val="center"/>
        <w:rPr>
          <w:color w:val="C49391"/>
          <w:spacing w:val="-1"/>
          <w:lang w:val="it-IT"/>
        </w:rPr>
      </w:pPr>
      <w:r>
        <w:rPr>
          <w:color w:val="C49391"/>
          <w:spacing w:val="-1"/>
          <w:lang w:val="it-IT"/>
        </w:rPr>
        <w:t>INFLUENZA</w:t>
      </w:r>
      <w:r>
        <w:rPr>
          <w:color w:val="C49391"/>
          <w:spacing w:val="1"/>
          <w:lang w:val="it-IT"/>
        </w:rPr>
        <w:t xml:space="preserve"> </w:t>
      </w:r>
      <w:r>
        <w:rPr>
          <w:color w:val="C49391"/>
          <w:spacing w:val="-1"/>
          <w:lang w:val="it-IT"/>
        </w:rPr>
        <w:t>GENETICA NELL'ASSORBIMENTO</w:t>
      </w:r>
    </w:p>
    <w:p>
      <w:pPr>
        <w:pStyle w:val="Heading1"/>
        <w:ind w:hanging="142" w:left="2514" w:right="2024"/>
        <w:jc w:val="center"/>
        <w:rPr>
          <w:color w:val="C49391"/>
          <w:spacing w:val="-1"/>
          <w:lang w:val="it-IT"/>
        </w:rPr>
      </w:pPr>
      <w:r>
        <w:rPr>
          <w:color w:val="C49391"/>
          <w:lang w:val="it-IT"/>
        </w:rPr>
        <w:t>E</w:t>
      </w:r>
      <w:r>
        <w:rPr>
          <w:color w:val="C49391"/>
          <w:spacing w:val="24"/>
          <w:lang w:val="it-IT"/>
        </w:rPr>
        <w:t xml:space="preserve"> </w:t>
      </w:r>
      <w:r>
        <w:rPr>
          <w:color w:val="C49391"/>
          <w:spacing w:val="-1"/>
          <w:lang w:val="it-IT"/>
        </w:rPr>
        <w:t xml:space="preserve">NEL METABOLISMO DI MINERALI </w:t>
      </w:r>
      <w:r>
        <w:rPr>
          <w:color w:val="C49391"/>
          <w:lang w:val="it-IT"/>
        </w:rPr>
        <w:t>E</w:t>
      </w:r>
      <w:r>
        <w:rPr>
          <w:color w:val="C49391"/>
          <w:spacing w:val="-1"/>
          <w:lang w:val="it-IT"/>
        </w:rPr>
        <w:t xml:space="preserve"> VITAMINE</w:t>
      </w:r>
    </w:p>
    <w:p>
      <w:pPr>
        <w:pStyle w:val="BodyText"/>
        <w:spacing w:lineRule="auto" w:line="271" w:before="3" w:after="0"/>
        <w:ind w:hanging="0" w:left="0" w:right="117"/>
        <w:jc w:val="both"/>
        <w:rPr>
          <w:lang w:val="it-IT"/>
        </w:rPr>
      </w:pPr>
      <w:r>
        <w:rPr>
          <w:lang w:val="it-IT"/>
        </w:rPr>
      </w:r>
    </w:p>
    <w:p>
      <w:pPr>
        <w:pStyle w:val="BodyText"/>
        <w:spacing w:lineRule="auto" w:line="271" w:before="3" w:after="0"/>
        <w:ind w:hanging="0" w:left="0" w:right="117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3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vitamine</w:t>
      </w:r>
      <w:r>
        <w:rPr>
          <w:b/>
          <w:color w:val="C49391"/>
          <w:spacing w:val="4"/>
          <w:lang w:val="it-IT"/>
        </w:rPr>
        <w:t xml:space="preserve"> </w:t>
      </w:r>
      <w:r>
        <w:rPr>
          <w:lang w:val="it-IT"/>
        </w:rPr>
        <w:t>e</w:t>
      </w:r>
      <w:r>
        <w:rPr>
          <w:spacing w:val="2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salute: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56"/>
          <w:w w:val="99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organismo,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22"/>
          <w:lang w:val="it-IT"/>
        </w:rPr>
        <w:t xml:space="preserve"> </w:t>
      </w:r>
      <w:r>
        <w:rPr>
          <w:lang w:val="it-IT"/>
        </w:rPr>
        <w:t>e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21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2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23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-3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da numerosi fattori</w:t>
      </w:r>
      <w:r>
        <w:rPr>
          <w:lang w:val="it-IT"/>
        </w:rPr>
        <w:t xml:space="preserve"> e</w:t>
      </w:r>
      <w:r>
        <w:rPr>
          <w:spacing w:val="-1"/>
          <w:lang w:val="it-IT"/>
        </w:rPr>
        <w:t xml:space="preserve"> tra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questi c'è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anche il nostro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le vitamine</w:t>
      </w:r>
      <w:r>
        <w:rPr>
          <w:lang w:val="it-IT"/>
        </w:rPr>
        <w:t xml:space="preserve"> e</w:t>
      </w:r>
      <w:r>
        <w:rPr>
          <w:spacing w:val="-1"/>
          <w:lang w:val="it-IT"/>
        </w:rPr>
        <w:t xml:space="preserve"> </w:t>
      </w:r>
      <w:r>
        <w:rPr>
          <w:lang w:val="it-IT"/>
        </w:rPr>
        <w:t>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 cibo</w:t>
      </w:r>
      <w:r>
        <w:rPr>
          <w:spacing w:val="-2"/>
          <w:lang w:val="it-IT"/>
        </w:rPr>
        <w:t xml:space="preserve"> normale.</w:t>
      </w:r>
      <w:r>
        <w:rPr>
          <w:spacing w:val="-1"/>
          <w:lang w:val="it-IT"/>
        </w:rPr>
        <w:t xml:space="preserve"> Tuttavia, questo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leggermente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4"/>
          <w:lang w:val="it-IT"/>
        </w:rPr>
        <w:t xml:space="preserve"> </w:t>
      </w:r>
      <w:r>
        <w:rPr>
          <w:spacing w:val="-1"/>
          <w:lang w:val="it-IT"/>
        </w:rPr>
        <w:t>difficile</w:t>
      </w:r>
      <w:r>
        <w:rPr>
          <w:spacing w:val="48"/>
          <w:w w:val="99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caso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quanto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28"/>
          <w:w w:val="99"/>
          <w:lang w:val="it-IT"/>
        </w:rPr>
        <w:t xml:space="preserve"> </w:t>
      </w:r>
      <w:r>
        <w:rPr>
          <w:spacing w:val="-1"/>
          <w:lang w:val="it-IT"/>
        </w:rPr>
        <w:t>influenzare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6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7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B6</w:t>
      </w:r>
      <w:r>
        <w:rPr>
          <w:spacing w:val="-1"/>
          <w:lang w:val="it-IT"/>
        </w:rPr>
        <w:t>,</w:t>
      </w:r>
      <w:r>
        <w:rPr>
          <w:spacing w:val="6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B12</w:t>
      </w:r>
      <w:r>
        <w:rPr>
          <w:spacing w:val="-1"/>
          <w:lang w:val="it-IT"/>
        </w:rPr>
        <w:t>,</w:t>
      </w:r>
      <w:r>
        <w:rPr>
          <w:spacing w:val="7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b/>
          <w:color w:val="C49391"/>
          <w:lang w:val="it-IT"/>
        </w:rPr>
        <w:t>B9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vitamina</w:t>
      </w:r>
      <w:r>
        <w:rPr>
          <w:b/>
          <w:color w:val="C49391"/>
          <w:spacing w:val="6"/>
          <w:lang w:val="it-IT"/>
        </w:rPr>
        <w:t xml:space="preserve"> </w:t>
      </w:r>
      <w:r>
        <w:rPr>
          <w:b/>
          <w:color w:val="C49391"/>
          <w:lang w:val="it-IT"/>
        </w:rPr>
        <w:t>D</w:t>
      </w:r>
      <w:r>
        <w:rPr>
          <w:b/>
          <w:color w:val="C49391"/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8"/>
          <w:w w:val="99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-7"/>
          <w:lang w:val="it-IT"/>
        </w:rPr>
        <w:t xml:space="preserve"> </w:t>
      </w:r>
      <w:r>
        <w:rPr>
          <w:b/>
          <w:color w:val="C49391"/>
          <w:lang w:val="it-IT"/>
        </w:rPr>
        <w:t>zinco</w:t>
      </w:r>
      <w:r>
        <w:rPr>
          <w:b/>
          <w:color w:val="C49391"/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color w:val="C49391"/>
          <w:spacing w:val="-1"/>
          <w:lang w:val="it-IT"/>
        </w:rPr>
        <w:t>potassio</w:t>
      </w:r>
      <w:r>
        <w:rPr>
          <w:spacing w:val="-1"/>
          <w:lang w:val="it-IT"/>
        </w:rPr>
        <w:t>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Inoltre,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conoscerai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sensibilità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sale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cucina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(</w:t>
      </w:r>
      <w:r>
        <w:rPr>
          <w:b/>
          <w:color w:val="C49391"/>
          <w:spacing w:val="-1"/>
          <w:lang w:val="it-IT"/>
        </w:rPr>
        <w:t>sodio</w:t>
      </w:r>
      <w:r>
        <w:rPr>
          <w:spacing w:val="-1"/>
          <w:lang w:val="it-IT"/>
        </w:rPr>
        <w:t>).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9"/>
          <w:lang w:val="it-IT"/>
        </w:rPr>
        <w:t xml:space="preserve"> </w:t>
      </w:r>
      <w:r>
        <w:rPr>
          <w:b w:val="false"/>
          <w:bCs w:val="false"/>
          <w:spacing w:val="-9"/>
          <w:lang w:val="it-IT"/>
        </w:rPr>
        <w:t>testo_assorbimento_lungo</w:t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tbl>
      <w:tblPr>
        <w:tblStyle w:val="Grigliatabella"/>
        <w:tblW w:w="1041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40"/>
        <w:gridCol w:w="1431"/>
        <w:gridCol w:w="2183"/>
        <w:gridCol w:w="1348"/>
        <w:gridCol w:w="3108"/>
      </w:tblGrid>
      <w:tr>
        <w:trPr>
          <w:trHeight w:val="454" w:hRule="atLeast"/>
        </w:trPr>
        <w:tc>
          <w:tcPr>
            <w:tcW w:w="234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962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10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43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8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4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10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2" w:name="_Hlk83979968"/>
            <w:bookmarkStart w:id="13" w:name="_Hlk83979968"/>
            <w:bookmarkEnd w:id="13"/>
          </w:p>
        </w:tc>
      </w:tr>
    </w:tbl>
    <w:p>
      <w:pPr>
        <w:pStyle w:val="Normal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tbl>
      <w:tblPr>
        <w:tblStyle w:val="Grigliatabella"/>
        <w:tblW w:w="10440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22"/>
        <w:gridCol w:w="1621"/>
        <w:gridCol w:w="2349"/>
        <w:gridCol w:w="2527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497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4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52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2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/>
          <w:sz w:val="24"/>
          <w:szCs w:val="24"/>
        </w:rPr>
      </w:r>
      <w:r>
        <w:br w:type="page"/>
      </w:r>
    </w:p>
    <w:p>
      <w:pPr>
        <w:pStyle w:val="Normal"/>
        <w:spacing w:before="0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6" w:after="0"/>
        <w:rPr>
          <w:rFonts w:ascii="Calibri" w:hAnsi="Calibri" w:eastAsia="Calibri" w:cs="Calibri"/>
          <w:b/>
          <w:bCs/>
          <w:sz w:val="11"/>
          <w:szCs w:val="11"/>
          <w:lang w:val="it-IT"/>
        </w:rPr>
      </w:pPr>
      <w:r>
        <w:rPr>
          <w:rFonts w:eastAsia="Calibri" w:cs="Calibri"/>
          <w:b/>
          <w:bCs/>
          <w:sz w:val="11"/>
          <w:szCs w:val="11"/>
          <w:lang w:val="it-IT"/>
        </w:rPr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>
          <w:rFonts w:eastAsia="Arial" w:cs="Arial"/>
          <w:spacing w:val="-1"/>
          <w:sz w:val="20"/>
          <w:szCs w:val="20"/>
          <w:lang w:val="it-IT"/>
        </w:rPr>
        <w:t xml:space="preserve">Il test si concentra esclusivamente sulle variazioni genetiche la cui correlazione con l'insorgenza di patologie complesse (come obesità, diabete di tipo 2 e malattie cardiovascolari) è supportata da un'ampia letteratura scientifica. Questo test rappresenta un utile strumento per il tuo benessere, ma </w:t>
      </w:r>
      <w:r>
        <w:rPr>
          <w:rFonts w:eastAsia="Arial" w:cs="Arial"/>
          <w:b/>
          <w:bCs/>
          <w:spacing w:val="-1"/>
          <w:sz w:val="20"/>
          <w:szCs w:val="20"/>
          <w:lang w:val="it-IT"/>
        </w:rPr>
        <w:t>non costituisce una diagnosi clinica e non sostituisce il parere del medico</w:t>
      </w:r>
      <w:r>
        <w:rPr>
          <w:rFonts w:eastAsia="Arial" w:cs="Arial"/>
          <w:spacing w:val="-1"/>
          <w:sz w:val="20"/>
          <w:szCs w:val="20"/>
          <w:lang w:val="it-IT"/>
        </w:rPr>
        <w:t xml:space="preserve">. I risultati devono essere valutati ed approvati alla luce della storia anamnestica personale su </w:t>
      </w:r>
      <w:r>
        <w:rPr>
          <w:rFonts w:eastAsia="Arial" w:cs="Arial"/>
          <w:b/>
          <w:bCs/>
          <w:spacing w:val="-1"/>
          <w:sz w:val="20"/>
          <w:szCs w:val="20"/>
          <w:lang w:val="it-IT"/>
        </w:rPr>
        <w:t>verifica del medico curante</w:t>
      </w:r>
      <w:r>
        <w:rPr>
          <w:rFonts w:eastAsia="Arial" w:cs="Arial"/>
          <w:spacing w:val="-1"/>
          <w:sz w:val="20"/>
          <w:szCs w:val="20"/>
          <w:lang w:val="it-IT"/>
        </w:rPr>
        <w:t>.</w:t>
      </w:r>
    </w:p>
    <w:p>
      <w:pPr>
        <w:pStyle w:val="Normal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spacing w:lineRule="auto" w:line="288"/>
        <w:ind w:hanging="0" w:left="108" w:right="241"/>
        <w:rPr>
          <w:lang w:val="it-IT"/>
        </w:rPr>
      </w:pPr>
      <w:r>
        <w:rPr>
          <w:spacing w:val="-1"/>
          <w:lang w:val="it-IT"/>
        </w:rPr>
        <w:t>N.B.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fine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paragrafo,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riportiamo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"delle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indicazioni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alimentari"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57"/>
          <w:w w:val="99"/>
          <w:lang w:val="it-IT"/>
        </w:rPr>
        <w:t xml:space="preserve"> </w:t>
      </w:r>
      <w:r>
        <w:rPr>
          <w:spacing w:val="-1"/>
          <w:lang w:val="it-IT"/>
        </w:rPr>
        <w:t>addicono</w:t>
      </w:r>
      <w:r>
        <w:rPr>
          <w:spacing w:val="-20"/>
          <w:lang w:val="it-IT"/>
        </w:rPr>
        <w:t xml:space="preserve"> </w:t>
      </w:r>
      <w:r>
        <w:rPr>
          <w:spacing w:val="-1"/>
          <w:lang w:val="it-IT"/>
        </w:rPr>
        <w:t>meglio.</w:t>
      </w:r>
    </w:p>
    <w:p>
      <w:pPr>
        <w:pStyle w:val="Heading2"/>
        <w:spacing w:before="177" w:after="0"/>
        <w:jc w:val="both"/>
        <w:rPr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11" w:after="0"/>
        <w:rPr>
          <w:rFonts w:ascii="Arial" w:hAnsi="Arial" w:eastAsia="Arial" w:cs="Arial"/>
          <w:b/>
          <w:bCs/>
          <w:sz w:val="15"/>
          <w:szCs w:val="15"/>
          <w:lang w:val="it-IT"/>
        </w:rPr>
      </w:pPr>
      <w:r>
        <w:rPr>
          <w:rFonts w:eastAsia="Arial" w:cs="Arial" w:ascii="Arial" w:hAnsi="Arial"/>
          <w:b/>
          <w:bCs/>
          <w:sz w:val="15"/>
          <w:szCs w:val="15"/>
          <w:lang w:val="it-IT"/>
        </w:rPr>
      </w:r>
    </w:p>
    <w:p>
      <w:pPr>
        <w:pStyle w:val="Normal"/>
        <w:spacing w:before="80" w:after="0"/>
        <w:ind w:hanging="0" w:left="108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ascii="Arial" w:hAnsi="Arial"/>
          <w:b/>
          <w:i/>
          <w:spacing w:val="-1"/>
          <w:sz w:val="16"/>
          <w:lang w:val="it-IT"/>
        </w:rPr>
        <w:t>Bibliografia</w:t>
      </w:r>
    </w:p>
    <w:p>
      <w:pPr>
        <w:pStyle w:val="Normal"/>
        <w:spacing w:lineRule="auto" w:line="240" w:before="7" w:after="0"/>
        <w:rPr>
          <w:rFonts w:ascii="Arial" w:hAnsi="Arial" w:eastAsia="Arial" w:cs="Arial"/>
          <w:b/>
          <w:bCs/>
          <w:i/>
          <w:i/>
          <w:sz w:val="19"/>
          <w:szCs w:val="19"/>
          <w:lang w:val="it-IT"/>
        </w:rPr>
      </w:pPr>
      <w:r>
        <w:rPr>
          <w:rFonts w:eastAsia="Arial" w:cs="Arial" w:ascii="Arial" w:hAnsi="Arial"/>
          <w:b/>
          <w:bCs/>
          <w:i/>
          <w:sz w:val="19"/>
          <w:szCs w:val="19"/>
          <w:lang w:val="it-IT"/>
        </w:rPr>
      </w:r>
    </w:p>
    <w:p>
      <w:pPr>
        <w:pStyle w:val="Normal"/>
        <w:spacing w:lineRule="auto" w:line="240"/>
        <w:ind w:hanging="0" w:left="108" w:right="270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Liù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Liu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CC,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Kanekiyo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T,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Xu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H,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Bu</w:t>
      </w:r>
      <w:r>
        <w:rPr>
          <w:rFonts w:eastAsia="Times New Roman" w:cs="Times New Roman" w:ascii="Times New Roman" w:hAnsi="Times New Roman"/>
          <w:spacing w:val="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  <w:lang w:val="it-IT"/>
        </w:rPr>
        <w:t>G</w:t>
      </w:r>
      <w:r>
        <w:rPr>
          <w:rFonts w:eastAsia="Times New Roman" w:cs="Times New Roman" w:ascii="Times New Roman" w:hAnsi="Times New Roman"/>
          <w:spacing w:val="2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(February</w:t>
      </w:r>
      <w:r>
        <w:rPr>
          <w:rFonts w:eastAsia="Times New Roman" w:cs="Times New Roman" w:ascii="Times New Roman" w:hAnsi="Times New Roman"/>
          <w:spacing w:val="1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  <w:lang w:val="it-IT"/>
        </w:rPr>
        <w:t>2013).</w:t>
      </w:r>
      <w:r>
        <w:rPr>
          <w:rFonts w:eastAsia="Times New Roman" w:cs="Times New Roman" w:ascii="Times New Roman" w:hAnsi="Times New Roman"/>
          <w:spacing w:val="-3"/>
          <w:sz w:val="16"/>
          <w:szCs w:val="16"/>
          <w:lang w:val="it-IT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"Apolipoprotein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Alzheimer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disease: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risk,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mechanisms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and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therapy".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Nature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Reviews.</w:t>
      </w:r>
      <w:r>
        <w:rPr>
          <w:rFonts w:eastAsia="Times New Roman" w:cs="Times New Roman" w:ascii="Times New Roman" w:hAnsi="Times New Roman"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Neurology.9(2):</w:t>
      </w:r>
      <w:r>
        <w:rPr>
          <w:rFonts w:eastAsia="Times New Roman" w:cs="Times New Roman" w:ascii="Times New Roman" w:hAnsi="Times New Roman"/>
          <w:spacing w:val="17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4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left="108" w:right="270"/>
        <w:rPr/>
      </w:pPr>
      <w:r>
        <w:rPr>
          <w:rFonts w:ascii="Times New Roman" w:hAnsi="Times New Roman"/>
          <w:spacing w:val="-1"/>
          <w:sz w:val="16"/>
        </w:rPr>
        <w:t>Dana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Simona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Chita,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Anca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Tudor,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Ruxandra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Christodorescu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al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Prevalence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Factors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Involved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8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Cardioembolic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Stroke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Severity.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z w:val="16"/>
        </w:rPr>
        <w:t>Brain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Sci.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10(8):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z w:val="16"/>
        </w:rPr>
        <w:t>476.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"/>
        <w:spacing w:lineRule="auto" w:line="240"/>
        <w:ind w:hanging="0" w:left="108" w:right="241"/>
        <w:rPr/>
      </w:pP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Georgopoulos,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H.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Bloomfield,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D.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Collins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et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al.,</w:t>
      </w:r>
      <w:r>
        <w:rPr>
          <w:rFonts w:eastAsia="Times New Roman" w:cs="Times New Roman" w:ascii="Times New Roman" w:hAnsi="Times New Roman"/>
          <w:spacing w:val="1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“Codon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54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polymorphism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fatty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acid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binding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protein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(FABP)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2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gene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>is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associated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with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increased</w:t>
      </w:r>
      <w:r>
        <w:rPr>
          <w:rFonts w:eastAsia="Times New Roman" w:cs="Times New Roman" w:ascii="Times New Roman" w:hAnsi="Times New Roman"/>
          <w:i/>
          <w:spacing w:val="40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cardiovascular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risk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dyslipidemic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diabetic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participants</w:t>
      </w:r>
      <w:r>
        <w:rPr>
          <w:rFonts w:eastAsia="Times New Roman" w:cs="Times New Roman" w:ascii="Times New Roman" w:hAnsi="Times New Roman"/>
          <w:i/>
          <w:spacing w:val="3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of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the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Veterans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Affairs</w:t>
      </w:r>
      <w:r>
        <w:rPr>
          <w:rFonts w:eastAsia="Times New Roman" w:cs="Times New Roman" w:ascii="Times New Roman" w:hAnsi="Times New Roman"/>
          <w:i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HDL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intervention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trial</w:t>
      </w:r>
      <w:r>
        <w:rPr>
          <w:rFonts w:eastAsia="Times New Roman" w:cs="Times New Roman" w:ascii="Times New Roman" w:hAnsi="Times New Roman"/>
          <w:i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i/>
          <w:spacing w:val="-1"/>
          <w:sz w:val="16"/>
          <w:szCs w:val="16"/>
        </w:rPr>
        <w:t>(VA-HIT),”</w:t>
      </w:r>
      <w:r>
        <w:rPr>
          <w:rFonts w:eastAsia="Times New Roman" w:cs="Times New Roman" w:ascii="Times New Roman" w:hAnsi="Times New Roman"/>
          <w:i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Atherosclerosis,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vol.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194,</w:t>
      </w:r>
      <w:r>
        <w:rPr>
          <w:rFonts w:eastAsia="Times New Roman" w:cs="Times New Roman" w:ascii="Times New Roman" w:hAnsi="Times New Roman"/>
          <w:spacing w:val="5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no.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1,</w:t>
      </w:r>
      <w:r>
        <w:rPr>
          <w:rFonts w:eastAsia="Times New Roman" w:cs="Times New Roman" w:ascii="Times New Roman" w:hAnsi="Times New Roman"/>
          <w:spacing w:val="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pp.</w:t>
      </w:r>
      <w:r>
        <w:rPr>
          <w:rFonts w:eastAsia="Times New Roman" w:cs="Times New Roman" w:ascii="Times New Roman" w:hAnsi="Times New Roman"/>
          <w:spacing w:val="59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pacing w:val="-1"/>
          <w:sz w:val="16"/>
          <w:szCs w:val="16"/>
        </w:rPr>
        <w:t>169–174,</w:t>
      </w:r>
      <w:r>
        <w:rPr>
          <w:rFonts w:eastAsia="Times New Roman" w:cs="Times New Roman" w:ascii="Times New Roman" w:hAnsi="Times New Roman"/>
          <w:spacing w:val="14"/>
          <w:sz w:val="16"/>
          <w:szCs w:val="16"/>
        </w:rPr>
        <w:t xml:space="preserve"> </w:t>
      </w:r>
      <w:r>
        <w:rPr>
          <w:rFonts w:eastAsia="Times New Roman" w:cs="Times New Roman" w:ascii="Times New Roman" w:hAnsi="Times New Roman"/>
          <w:sz w:val="16"/>
          <w:szCs w:val="16"/>
        </w:rPr>
        <w:t>2007.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left="108" w:right="270"/>
        <w:rPr/>
      </w:pPr>
      <w:r>
        <w:rPr>
          <w:rFonts w:ascii="Times New Roman" w:hAnsi="Times New Roman"/>
          <w:spacing w:val="-1"/>
          <w:sz w:val="16"/>
        </w:rPr>
        <w:t>Chun-Jian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Qiu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Xiao-Zheng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Ye,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Xiao-Juan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Yu,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Xiao-Ren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Peng,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Tong-Huan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Association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between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FABP2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Ala54Thr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diabetes</w:t>
      </w:r>
      <w:r>
        <w:rPr>
          <w:rFonts w:ascii="Times New Roman" w:hAnsi="Times New Roman"/>
          <w:i/>
          <w:spacing w:val="59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mellitus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HuGE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Review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Meta-Analysis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Cell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Med.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2014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Dec;18(12):2530-5.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left="108" w:right="241"/>
        <w:rPr/>
      </w:pPr>
      <w:r>
        <w:rPr>
          <w:rFonts w:ascii="Times New Roman" w:hAnsi="Times New Roman"/>
          <w:spacing w:val="-1"/>
          <w:sz w:val="16"/>
        </w:rPr>
        <w:t>Dayana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Rodrigues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Farias,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Nadya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Helena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Alves-Santos,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Ilana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Eshriqui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-2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Leptin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(rs7799039;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G2548A)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changes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8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serum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lipid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during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pregnancy: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prospective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cohort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-2"/>
          <w:sz w:val="16"/>
        </w:rPr>
        <w:t xml:space="preserve"> </w:t>
      </w:r>
      <w:r>
        <w:rPr>
          <w:rFonts w:ascii="Times New Roman" w:hAnsi="Times New Roman"/>
          <w:sz w:val="16"/>
        </w:rPr>
        <w:t>Eur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Nutr.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2020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Aug;59(5):1999-2009.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left="108" w:right="270"/>
        <w:rPr/>
      </w:pPr>
      <w:r>
        <w:rPr>
          <w:rFonts w:ascii="Times New Roman" w:hAnsi="Times New Roman"/>
          <w:spacing w:val="-1"/>
          <w:sz w:val="16"/>
        </w:rPr>
        <w:t>Crider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(2011).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MTHFR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677C-&gt;T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genotype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folate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homocysteine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concentrations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large,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population-based,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double-blind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trial</w:t>
      </w:r>
      <w:r>
        <w:rPr>
          <w:rFonts w:ascii="Times New Roman" w:hAnsi="Times New Roman"/>
          <w:i/>
          <w:spacing w:val="3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folic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supplementation.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Am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z w:val="16"/>
        </w:rPr>
        <w:t>J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Clin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Nutr.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93(6):1365-1372.</w:t>
      </w:r>
    </w:p>
    <w:p>
      <w:pPr>
        <w:pStyle w:val="Normal"/>
        <w:spacing w:lineRule="auto" w:line="240" w:before="6" w:after="0"/>
        <w:rPr>
          <w:rFonts w:ascii="Times New Roman" w:hAnsi="Times New Roman" w:eastAsia="Times New Roman" w:cs="Times New Roman"/>
          <w:sz w:val="13"/>
          <w:szCs w:val="13"/>
        </w:rPr>
      </w:pPr>
      <w:r>
        <w:rPr>
          <w:rFonts w:eastAsia="Times New Roman" w:cs="Times New Roman" w:ascii="Times New Roman" w:hAnsi="Times New Roman"/>
          <w:sz w:val="13"/>
          <w:szCs w:val="13"/>
        </w:rPr>
      </w:r>
    </w:p>
    <w:p>
      <w:pPr>
        <w:pStyle w:val="Normal"/>
        <w:spacing w:lineRule="auto" w:line="240"/>
        <w:ind w:hanging="0" w:left="108" w:right="241"/>
        <w:rPr/>
      </w:pPr>
      <w:r>
        <w:rPr>
          <w:rFonts w:ascii="Times New Roman" w:hAnsi="Times New Roman"/>
          <w:spacing w:val="-1"/>
          <w:sz w:val="16"/>
        </w:rPr>
        <w:t>Chibo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Liu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z w:val="16"/>
        </w:rPr>
        <w:t>,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Sihua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Mou,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Chunqin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Pan.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FTO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rs9939609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predicts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cardiovascular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disease: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systematic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review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meta-</w:t>
      </w:r>
      <w:r>
        <w:rPr>
          <w:rFonts w:ascii="Times New Roman" w:hAnsi="Times New Roman"/>
          <w:i/>
          <w:spacing w:val="4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analysis.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PLoS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One.</w:t>
      </w:r>
      <w:r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2013</w:t>
      </w:r>
      <w:r>
        <w:rPr>
          <w:rFonts w:ascii="Times New Roman" w:hAnsi="Times New Roman"/>
          <w:spacing w:val="9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Aug</w:t>
      </w:r>
      <w:r>
        <w:rPr>
          <w:rFonts w:ascii="Times New Roman" w:hAnsi="Times New Roman"/>
          <w:spacing w:val="10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19;8(8):e71901.</w:t>
      </w:r>
    </w:p>
    <w:p>
      <w:pPr>
        <w:pStyle w:val="Normal"/>
        <w:spacing w:lineRule="auto" w:line="24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/>
        <w:rPr/>
      </w:pPr>
      <w:r>
        <w:rPr>
          <w:rFonts w:ascii="Times New Roman" w:hAnsi="Times New Roman"/>
          <w:spacing w:val="-1"/>
          <w:sz w:val="16"/>
        </w:rPr>
        <w:t>Warodomwichit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ADIPOQ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polymorphisms,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monounsaturated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fatty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acids,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and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obesity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risk: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GOLDN</w:t>
      </w:r>
      <w:r>
        <w:rPr>
          <w:rFonts w:ascii="Times New Roman" w:hAnsi="Times New Roman"/>
          <w:i/>
          <w:spacing w:val="4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study.</w:t>
      </w:r>
      <w:r>
        <w:rPr>
          <w:rFonts w:ascii="Times New Roman" w:hAnsi="Times New Roman"/>
          <w:i/>
          <w:spacing w:val="1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Obesity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17(3):</w:t>
      </w:r>
      <w:r>
        <w:rPr>
          <w:rFonts w:ascii="Times New Roman" w:hAnsi="Times New Roman"/>
          <w:spacing w:val="7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510-517</w:t>
      </w:r>
    </w:p>
    <w:p>
      <w:pPr>
        <w:pStyle w:val="Normal"/>
        <w:spacing w:lineRule="auto" w:line="240" w:before="2" w:after="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/>
        <w:ind w:hanging="0" w:left="108" w:right="241"/>
        <w:rPr/>
      </w:pPr>
      <w:r>
        <w:rPr>
          <w:rFonts w:ascii="Times New Roman" w:hAnsi="Times New Roman"/>
          <w:spacing w:val="-1"/>
          <w:sz w:val="16"/>
        </w:rPr>
        <w:t>Hivert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 xml:space="preserve">(2008). </w:t>
      </w:r>
      <w:r>
        <w:rPr>
          <w:rFonts w:ascii="Times New Roman" w:hAnsi="Times New Roman"/>
          <w:i/>
          <w:spacing w:val="-1"/>
          <w:sz w:val="16"/>
        </w:rPr>
        <w:t>Common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variants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gene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(ADIPOQ)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plasma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adiponectin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levels,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type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2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diabetes,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and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diabetes-related</w:t>
      </w:r>
      <w:r>
        <w:rPr>
          <w:rFonts w:ascii="Times New Roman" w:hAnsi="Times New Roman"/>
          <w:i/>
          <w:spacing w:val="72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quantitative</w:t>
      </w:r>
      <w:r>
        <w:rPr>
          <w:rFonts w:ascii="Times New Roman" w:hAnsi="Times New Roman"/>
          <w:i/>
          <w:spacing w:val="7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traits: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the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Framingham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Offspring</w:t>
      </w:r>
      <w:r>
        <w:rPr>
          <w:rFonts w:ascii="Times New Roman" w:hAnsi="Times New Roman"/>
          <w:i/>
          <w:spacing w:val="6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 xml:space="preserve">Study. </w:t>
      </w:r>
      <w:r>
        <w:rPr>
          <w:rFonts w:ascii="Times New Roman" w:hAnsi="Times New Roman"/>
          <w:spacing w:val="-1"/>
          <w:sz w:val="16"/>
        </w:rPr>
        <w:t>Diabetes</w:t>
      </w:r>
      <w:r>
        <w:rPr>
          <w:rFonts w:ascii="Times New Roman" w:hAnsi="Times New Roman"/>
          <w:spacing w:val="10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57(12):</w:t>
      </w:r>
      <w:r>
        <w:rPr>
          <w:rFonts w:ascii="Times New Roman" w:hAnsi="Times New Roman"/>
          <w:spacing w:val="10"/>
          <w:sz w:val="16"/>
        </w:rPr>
        <w:t xml:space="preserve"> </w:t>
      </w:r>
      <w:r>
        <w:rPr>
          <w:rFonts w:ascii="Times New Roman" w:hAnsi="Times New Roman"/>
          <w:spacing w:val="-2"/>
          <w:sz w:val="16"/>
        </w:rPr>
        <w:t>3353-3359</w:t>
      </w:r>
    </w:p>
    <w:p>
      <w:pPr>
        <w:pStyle w:val="Normal"/>
        <w:spacing w:lineRule="auto" w:line="240" w:before="3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left="108"/>
        <w:rPr/>
      </w:pPr>
      <w:r>
        <w:rPr>
          <w:rFonts w:ascii="Times New Roman" w:hAnsi="Times New Roman"/>
          <w:color w:val="202020"/>
          <w:spacing w:val="-1"/>
          <w:sz w:val="16"/>
        </w:rPr>
        <w:t>Mahley</w:t>
      </w:r>
      <w:r>
        <w:rPr>
          <w:rFonts w:ascii="Times New Roman" w:hAnsi="Times New Roman"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RW.</w:t>
      </w:r>
      <w:r>
        <w:rPr>
          <w:rFonts w:ascii="Times New Roman" w:hAnsi="Times New Roman"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Apolipoprotein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E: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from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cardiovascular</w:t>
      </w:r>
      <w:r>
        <w:rPr>
          <w:rFonts w:ascii="Times New Roman" w:hAnsi="Times New Roman"/>
          <w:i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disease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to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neurodegenerative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disorders.</w:t>
      </w:r>
      <w:r>
        <w:rPr>
          <w:rFonts w:ascii="Times New Roman" w:hAnsi="Times New Roman"/>
          <w:i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J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Mol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Med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(Berl).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2016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Jul;94(7):739-46.</w:t>
      </w:r>
    </w:p>
    <w:p>
      <w:pPr>
        <w:pStyle w:val="Normal"/>
        <w:spacing w:lineRule="auto" w:line="240" w:before="9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lineRule="auto" w:line="240"/>
        <w:ind w:hanging="0" w:left="108" w:right="241"/>
        <w:rPr/>
      </w:pPr>
      <w:r>
        <w:rPr>
          <w:rFonts w:ascii="Times New Roman" w:hAnsi="Times New Roman"/>
          <w:color w:val="202020"/>
          <w:spacing w:val="-1"/>
          <w:sz w:val="16"/>
        </w:rPr>
        <w:t>Iwai</w:t>
      </w:r>
      <w:r>
        <w:rPr>
          <w:rFonts w:ascii="Times New Roman" w:hAnsi="Times New Roman"/>
          <w:color w:val="202020"/>
          <w:spacing w:val="1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C,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Akita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Kanazawa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K,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Shiga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N,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Terashima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3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Matsuda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Takai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E,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Miyamoto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Y,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Shimizu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Kajiya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Hayashi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z w:val="16"/>
        </w:rPr>
        <w:t>T,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Yokoyama</w:t>
      </w:r>
      <w:r>
        <w:rPr>
          <w:rFonts w:ascii="Times New Roman" w:hAnsi="Times New Roman"/>
          <w:color w:val="202020"/>
          <w:spacing w:val="2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M.</w:t>
      </w:r>
      <w:r>
        <w:rPr>
          <w:rFonts w:ascii="Times New Roman" w:hAnsi="Times New Roman"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Arg389Gly</w:t>
      </w:r>
      <w:r>
        <w:rPr>
          <w:rFonts w:ascii="Times New Roman" w:hAnsi="Times New Roman"/>
          <w:i/>
          <w:color w:val="202020"/>
          <w:spacing w:val="91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polymorphism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of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the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human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beta1-adrenergic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receptor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in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patients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with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nonfatal</w:t>
      </w:r>
      <w:r>
        <w:rPr>
          <w:rFonts w:ascii="Times New Roman" w:hAnsi="Times New Roman"/>
          <w:i/>
          <w:color w:val="202020"/>
          <w:spacing w:val="7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acute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>myocardial</w:t>
      </w:r>
      <w:r>
        <w:rPr>
          <w:rFonts w:ascii="Times New Roman" w:hAnsi="Times New Roman"/>
          <w:i/>
          <w:color w:val="202020"/>
          <w:spacing w:val="6"/>
          <w:sz w:val="16"/>
        </w:rPr>
        <w:t xml:space="preserve"> </w:t>
      </w:r>
      <w:r>
        <w:rPr>
          <w:rFonts w:ascii="Times New Roman" w:hAnsi="Times New Roman"/>
          <w:i/>
          <w:color w:val="202020"/>
          <w:spacing w:val="-1"/>
          <w:sz w:val="16"/>
        </w:rPr>
        <w:t xml:space="preserve">infarction. </w:t>
      </w:r>
      <w:r>
        <w:rPr>
          <w:rFonts w:ascii="Times New Roman" w:hAnsi="Times New Roman"/>
          <w:color w:val="202020"/>
          <w:spacing w:val="-1"/>
          <w:sz w:val="16"/>
        </w:rPr>
        <w:t>Am</w:t>
      </w:r>
      <w:r>
        <w:rPr>
          <w:rFonts w:ascii="Times New Roman" w:hAnsi="Times New Roman"/>
          <w:color w:val="202020"/>
          <w:spacing w:val="4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Heart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J.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1"/>
          <w:sz w:val="16"/>
        </w:rPr>
        <w:t>2003</w:t>
      </w:r>
      <w:r>
        <w:rPr>
          <w:rFonts w:ascii="Times New Roman" w:hAnsi="Times New Roman"/>
          <w:color w:val="202020"/>
          <w:spacing w:val="5"/>
          <w:sz w:val="16"/>
        </w:rPr>
        <w:t xml:space="preserve"> </w:t>
      </w:r>
      <w:r>
        <w:rPr>
          <w:rFonts w:ascii="Times New Roman" w:hAnsi="Times New Roman"/>
          <w:color w:val="202020"/>
          <w:spacing w:val="-2"/>
          <w:sz w:val="16"/>
        </w:rPr>
        <w:t>Jul;146(1):106-9.</w:t>
      </w:r>
    </w:p>
    <w:p>
      <w:pPr>
        <w:pStyle w:val="Normal"/>
        <w:spacing w:lineRule="auto" w:line="240" w:before="5" w:after="0"/>
        <w:rPr>
          <w:rFonts w:ascii="Times New Roman" w:hAnsi="Times New Roman" w:eastAsia="Times New Roman" w:cs="Times New Roman"/>
          <w:sz w:val="17"/>
          <w:szCs w:val="17"/>
        </w:rPr>
      </w:pPr>
      <w:r>
        <w:rPr>
          <w:rFonts w:eastAsia="Times New Roman" w:cs="Times New Roman" w:ascii="Times New Roman" w:hAnsi="Times New Roman"/>
          <w:sz w:val="17"/>
          <w:szCs w:val="17"/>
        </w:rPr>
      </w:r>
    </w:p>
    <w:p>
      <w:pPr>
        <w:pStyle w:val="Normal"/>
        <w:spacing w:lineRule="auto" w:line="240"/>
        <w:ind w:hanging="0" w:left="108"/>
        <w:rPr/>
      </w:pPr>
      <w:r>
        <w:rPr>
          <w:rFonts w:ascii="Times New Roman" w:hAnsi="Times New Roman"/>
          <w:spacing w:val="-1"/>
          <w:sz w:val="16"/>
        </w:rPr>
        <w:t>Willer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et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al.</w:t>
      </w:r>
      <w:r>
        <w:rPr>
          <w:rFonts w:ascii="Times New Roman" w:hAnsi="Times New Roman"/>
          <w:spacing w:val="4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(2009).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Six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new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loci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associated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with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mass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index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highlight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a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>neuronal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influence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on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body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weight</w:t>
      </w:r>
      <w:r>
        <w:rPr>
          <w:rFonts w:ascii="Times New Roman" w:hAnsi="Times New Roman"/>
          <w:i/>
          <w:spacing w:val="5"/>
          <w:sz w:val="16"/>
        </w:rPr>
        <w:t xml:space="preserve"> </w:t>
      </w:r>
      <w:r>
        <w:rPr>
          <w:rFonts w:ascii="Times New Roman" w:hAnsi="Times New Roman"/>
          <w:i/>
          <w:spacing w:val="-1"/>
          <w:sz w:val="16"/>
        </w:rPr>
        <w:t>regulation.</w:t>
      </w:r>
      <w:r>
        <w:rPr>
          <w:rFonts w:ascii="Times New Roman" w:hAnsi="Times New Roman"/>
          <w:i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Nat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Genet</w:t>
      </w:r>
      <w:r>
        <w:rPr>
          <w:rFonts w:ascii="Times New Roman" w:hAnsi="Times New Roman"/>
          <w:spacing w:val="2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41(1):</w:t>
      </w:r>
      <w:r>
        <w:rPr>
          <w:rFonts w:ascii="Times New Roman" w:hAnsi="Times New Roman"/>
          <w:spacing w:val="3"/>
          <w:sz w:val="16"/>
        </w:rPr>
        <w:t xml:space="preserve"> </w:t>
      </w:r>
      <w:r>
        <w:rPr>
          <w:rFonts w:ascii="Times New Roman" w:hAnsi="Times New Roman"/>
          <w:spacing w:val="-1"/>
          <w:sz w:val="16"/>
        </w:rPr>
        <w:t>25-34</w:t>
      </w:r>
    </w:p>
    <w:p>
      <w:pPr>
        <w:pStyle w:val="Normal"/>
        <w:ind w:hanging="0" w:left="108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"/>
        <w:spacing w:before="4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p>
      <w:pPr>
        <w:pStyle w:val="Normal"/>
        <w:spacing w:before="4" w:after="0"/>
        <w:rPr>
          <w:rFonts w:ascii="Times New Roman" w:hAnsi="Times New Roman" w:eastAsia="Times New Roman" w:cs="Times New Roman"/>
          <w:sz w:val="19"/>
          <w:szCs w:val="19"/>
        </w:rPr>
      </w:pPr>
      <w:r>
        <w:rPr>
          <w:rFonts w:eastAsia="Times New Roman" w:cs="Times New Roman" w:ascii="Times New Roman" w:hAnsi="Times New Roman"/>
          <w:sz w:val="19"/>
          <w:szCs w:val="19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2"/>
        <w:gridCol w:w="2211"/>
        <w:gridCol w:w="1846"/>
        <w:gridCol w:w="2318"/>
        <w:gridCol w:w="2512"/>
      </w:tblGrid>
      <w:tr>
        <w:trPr>
          <w:trHeight w:val="1168" w:hRule="exact"/>
        </w:trPr>
        <w:tc>
          <w:tcPr>
            <w:tcW w:w="12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hanging="0" w:left="32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11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6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hanging="0" w:left="33" w:right="592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  <w:bookmarkStart w:id="14" w:name="_Hlk83980272"/>
            <w:bookmarkEnd w:id="14"/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49" w:footer="298" w:bottom="49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Arial">
    <w:charset w:val="01"/>
    <w:family w:val="swiss"/>
    <w:pitch w:val="default"/>
  </w:font>
  <w:font w:name="Cambria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Times New Roman">
    <w:charset w:val="01"/>
    <w:family w:val="swiss"/>
    <w:pitch w:val="default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634189346"/>
    </w:sdtPr>
    <w:sdtContent>
      <w:p>
        <w:pPr>
          <w:pStyle w:val="Footer"/>
          <w:rPr>
            <w:rFonts w:ascii="Arial" w:hAnsi="Arial" w:eastAsia="" w:cs="Arial" w:eastAsiaTheme="majorEastAsia"/>
            <w:sz w:val="16"/>
            <w:szCs w:val="16"/>
            <w:lang w:val="it-IT"/>
          </w:rPr>
        </w:pPr>
        <w:r>
          <w:rPr>
            <w:rFonts w:eastAsia="" w:cs="Arial" w:eastAsiaTheme="majorEastAsia" w:ascii="Arial" w:hAnsi="Arial"/>
            <w:sz w:val="16"/>
            <w:szCs w:val="16"/>
            <w:lang w:val="it-IT"/>
          </w:rPr>
        </w:r>
      </w:p>
    </w:sdtContent>
  </w:sdt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634189346"/>
    </w:sdtPr>
    <w:sdtContent>
      <w:p>
        <w:pPr>
          <w:pStyle w:val="Footer"/>
          <w:rPr>
            <w:rFonts w:ascii="Arial" w:hAnsi="Arial" w:eastAsia="" w:cs="Arial" w:eastAsiaTheme="majorEastAsia"/>
            <w:sz w:val="16"/>
            <w:szCs w:val="16"/>
            <w:lang w:val="it-IT"/>
          </w:rPr>
        </w:pPr>
        <w:r>
          <w:rPr>
            <w:rFonts w:eastAsia="" w:cs="Arial" w:eastAsiaTheme="majorEastAsia" w:ascii="Arial" w:hAnsi="Arial"/>
            <w:sz w:val="16"/>
            <w:szCs w:val="16"/>
            <w:lang w:val="it-IT"/>
          </w:rPr>
        </w:r>
      </w:p>
    </w:sdtContent>
  </w:sdt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273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7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hanging="0" w:left="108"/>
      <w:outlineLvl w:val="1"/>
    </w:pPr>
    <w:rPr>
      <w:rFonts w:ascii="Arial" w:hAnsi="Arial" w:eastAsia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Titolo3Carattere"/>
    <w:uiPriority w:val="9"/>
    <w:semiHidden/>
    <w:unhideWhenUsed/>
    <w:qFormat/>
    <w:rsid w:val="00927a9d"/>
    <w:pPr>
      <w:keepNext w:val="true"/>
      <w:keepLines/>
      <w:spacing w:before="40" w:after="0"/>
      <w:outlineLvl w:val="2"/>
    </w:pPr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3Carattere" w:customStyle="1">
    <w:name w:val="Titolo 3 Carattere"/>
    <w:basedOn w:val="DefaultParagraphFont"/>
    <w:uiPriority w:val="9"/>
    <w:semiHidden/>
    <w:qFormat/>
    <w:rsid w:val="00927a9d"/>
    <w:rPr>
      <w:rFonts w:ascii="Cambria" w:hAnsi="Cambria" w:eastAsia="" w:cs="" w:asciiTheme="majorHAnsi" w:cstheme="majorBidi" w:eastAsiaTheme="majorEastAsia" w:hAnsiTheme="majorHAnsi"/>
      <w:color w:themeColor="accent1" w:themeShade="7f" w:val="243F60"/>
      <w:sz w:val="24"/>
      <w:szCs w:val="24"/>
    </w:rPr>
  </w:style>
  <w:style w:type="character" w:styleId="IntestazioneCarattere" w:customStyle="1">
    <w:name w:val="Intestazione Carattere"/>
    <w:basedOn w:val="DefaultParagraphFont"/>
    <w:uiPriority w:val="99"/>
    <w:qFormat/>
    <w:rsid w:val="00927a9d"/>
    <w:rPr/>
  </w:style>
  <w:style w:type="character" w:styleId="PidipaginaCarattere" w:customStyle="1">
    <w:name w:val="Piè di pagina Carattere"/>
    <w:basedOn w:val="DefaultParagraphFont"/>
    <w:uiPriority w:val="99"/>
    <w:qFormat/>
    <w:rsid w:val="00927a9d"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927a9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927a9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927a9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Application>LibreOffice/24.2.7.2$Linux_X86_64 LibreOffice_project/420$Build-2</Application>
  <AppVersion>15.0000</AppVersion>
  <Pages>7</Pages>
  <Words>1199</Words>
  <Characters>7421</Characters>
  <CharactersWithSpaces>8486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2021-10-01T19:05:00Z</dcterms:created>
  <dc:creator>Alessandra</dc:creator>
  <dc:description/>
  <dc:language>en-US</dc:language>
  <cp:lastModifiedBy/>
  <dcterms:modified xsi:type="dcterms:W3CDTF">2026-03-09T14:53:45Z</dcterms:modified>
  <cp:revision>29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2021-10-01T00:00:00Z</vt:filetime>
  </property>
  <property fmtid="{D5CDD505-2E9C-101B-9397-08002B2CF9AE}" pid="3" name="LastSaved">
    <vt:filetime>2021-10-01T00:00:00Z</vt:filetime>
  </property>
</Properties>
</file>