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spacing w:lineRule="atLeast" w:line="200"/>
        <w:ind w:left="1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635" t="635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spacing w:before="27" w:after="0"/>
        <w:ind w:right="11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eastAsia="Calibri" w:cs="Calibri"/>
          <w:b/>
          <w:color w:val="92D050"/>
          <w:spacing w:val="-1"/>
          <w:sz w:val="36"/>
          <w:szCs w:val="36"/>
        </w:rPr>
        <w:t>test_title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635" distR="635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635" t="635" r="635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left="108"/>
        <w:rPr>
          <w:rFonts w:ascii="Arial" w:hAnsi="Arial" w:eastAsia="Arial" w:cs="Arial"/>
          <w:sz w:val="28"/>
          <w:szCs w:val="28"/>
        </w:rPr>
      </w:pPr>
      <w:r>
        <w:rPr>
          <w:rFonts w:ascii="Arial" w:hAnsi="Arial"/>
          <w:b/>
          <w:spacing w:val="-1"/>
          <w:sz w:val="32"/>
        </w:rPr>
        <w:t>intestaz_sex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&lt;nome&gt;</w:t>
      </w:r>
    </w:p>
    <w:p>
      <w:pPr>
        <w:pStyle w:val="Normal"/>
        <w:spacing w:before="5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TableGrid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39"/>
        <w:gridCol w:w="3611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eastAsia="Calibri" w:cs=""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&lt;sex&gt;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eastAsia="Calibri" w:cs=""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eastAsia="Calibri" w:cs=""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eastAsia="Calibri" w:cs=""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eastAsia="Calibri" w:cs=""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eastAsia="Calibri" w:cs=""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kern w:val="0"/>
                <w:sz w:val="24"/>
                <w:szCs w:val="22"/>
                <w:lang w:val="en-US" w:eastAsia="en-US" w:bidi="ar-SA"/>
              </w:rPr>
              <w:t>&lt;bmi&gt;</w:t>
            </w:r>
          </w:p>
        </w:tc>
      </w:tr>
    </w:tbl>
    <w:p>
      <w:pPr>
        <w:pStyle w:val="Normal"/>
        <w:spacing w:lineRule="atLeast" w:line="200"/>
        <w:ind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lineRule="auto" w:line="252" w:before="72" w:after="0"/>
        <w:ind w:firstLine="144" w:left="1569" w:right="1755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spacing w:before="3" w:after="0"/>
        <w:rPr>
          <w:rFonts w:ascii="Arial" w:hAnsi="Arial" w:eastAsia="Arial" w:cs="Arial"/>
          <w:sz w:val="23"/>
          <w:szCs w:val="23"/>
          <w:lang w:val="it-IT"/>
        </w:rPr>
      </w:pPr>
      <w:r>
        <w:rPr>
          <w:rFonts w:eastAsia="Arial" w:cs="Arial" w:ascii="Arial" w:hAnsi="Arial"/>
          <w:sz w:val="23"/>
          <w:szCs w:val="23"/>
          <w:lang w:val="it-IT"/>
        </w:rPr>
      </w:r>
    </w:p>
    <w:tbl>
      <w:tblPr>
        <w:tblStyle w:val="TableGrid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suppressAutoHyphens w:val="true"/>
              <w:spacing w:before="27" w:after="0"/>
              <w:ind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eastAsia="Calibri" w:cs=""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20"/>
                <w:szCs w:val="22"/>
                <w:lang w:val="it-IT" w:eastAsia="en-US" w:bidi="ar-SA"/>
              </w:rPr>
              <w:t>&lt;valpeso_sintesi&gt; 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TableGrid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eastAsia="Calibri" w:cs=""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eastAsia="Calibri" w:cs=""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eastAsia="Calibri" w:cs=""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2"/>
                <w:kern w:val="0"/>
                <w:sz w:val="20"/>
                <w:szCs w:val="22"/>
                <w:lang w:val="it-IT" w:eastAsia="en-US" w:bidi="ar-SA"/>
              </w:rPr>
              <w:t xml:space="preserve">&lt;valt2d_sintesi&gt;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20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TableGrid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eastAsia="Calibri" w:cs=""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2"/>
                <w:kern w:val="0"/>
                <w:sz w:val="20"/>
                <w:szCs w:val="22"/>
                <w:lang w:val="it-IT" w:eastAsia="en-US" w:bidi="ar-SA"/>
              </w:rPr>
              <w:t xml:space="preserve">&lt;valcardio_sintesi&gt;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20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Grid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D050" w:val="clear"/>
            <w:vAlign w:val="center"/>
          </w:tcPr>
          <w:p>
            <w:pPr>
              <w:pStyle w:val="Normal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2"/>
                <w:lang w:val="it-IT" w:eastAsia="en-US" w:bidi="ar-SA"/>
              </w:rPr>
              <w:t>&lt;testo_intolleranze&gt;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435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 w:before="6" w:after="0"/>
        <w:ind w:left="390"/>
        <w:rPr>
          <w:rFonts w:cs="Arial"/>
          <w:sz w:val="27"/>
          <w:szCs w:val="27"/>
        </w:rPr>
      </w:pPr>
      <w:r>
        <w:rPr>
          <w:rFonts w:cs="Arial"/>
          <w:position w:val="30"/>
          <w:sz w:val="27"/>
          <w:szCs w:val="27"/>
        </w:rPr>
        <w:tab/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left="390"/>
        <w:rPr/>
      </w:pPr>
      <w:r>
        <w:rPr>
          <w:position w:val="20"/>
        </w:rPr>
        <w:tab/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lineRule="auto" w:line="276" w:before="56" w:after="0"/>
        <w:ind w:left="108" w:right="116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9"/>
          <w:szCs w:val="19"/>
          <w:lang w:val="it-IT"/>
        </w:rPr>
      </w:pPr>
      <w:r>
        <w:rPr>
          <w:rFonts w:eastAsia="Calibri" w:cs="Calibri"/>
          <w:b/>
          <w:bCs/>
          <w:sz w:val="19"/>
          <w:szCs w:val="19"/>
          <w:lang w:val="it-IT"/>
        </w:rPr>
      </w:r>
    </w:p>
    <w:p>
      <w:pPr>
        <w:pStyle w:val="Heading1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8824"/>
      </w:tblGrid>
      <w:tr>
        <w:trPr>
          <w:trHeight w:val="336" w:hRule="atLeast"/>
        </w:trPr>
        <w:tc>
          <w:tcPr>
            <w:tcW w:w="152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4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2"/>
                <w:lang w:val="it-IT" w:eastAsia="en-US" w:bidi="ar-SA"/>
              </w:rPr>
              <w:t>&lt;valpeso&gt;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left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BodyText"/>
        <w:spacing w:before="74" w:after="0"/>
        <w:ind w:left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left="108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8824"/>
      </w:tblGrid>
      <w:tr>
        <w:trPr>
          <w:trHeight w:val="327" w:hRule="atLeast"/>
        </w:trPr>
        <w:tc>
          <w:tcPr>
            <w:tcW w:w="152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4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2"/>
                <w:lang w:val="it-IT" w:eastAsia="en-US" w:bidi="ar-SA"/>
              </w:rPr>
              <w:t>&lt;valt2d&gt;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8824"/>
      </w:tblGrid>
      <w:tr>
        <w:trPr>
          <w:trHeight w:val="327" w:hRule="atLeast"/>
        </w:trPr>
        <w:tc>
          <w:tcPr>
            <w:tcW w:w="152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4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2"/>
                <w:lang w:val="it-IT" w:eastAsia="en-US" w:bidi="ar-SA"/>
              </w:rPr>
              <w:t>&lt;valcardio&gt;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p>
      <w:pPr>
        <w:pStyle w:val="BodyText"/>
        <w:spacing w:before="74" w:after="0"/>
        <w:ind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TableGrid"/>
        <w:tblW w:w="10348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0"/>
        <w:gridCol w:w="2319"/>
        <w:gridCol w:w="1625"/>
        <w:gridCol w:w="2353"/>
        <w:gridCol w:w="2431"/>
      </w:tblGrid>
      <w:tr>
        <w:trPr>
          <w:trHeight w:val="454" w:hRule="atLeast"/>
        </w:trPr>
        <w:tc>
          <w:tcPr>
            <w:tcW w:w="162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19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SNP</w:t>
            </w:r>
          </w:p>
        </w:tc>
        <w:tc>
          <w:tcPr>
            <w:tcW w:w="640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0" w:type="dxa"/>
            <w:tcBorders>
              <w:right w:val="nil"/>
            </w:tcBorders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19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5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431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3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left="0" w:right="98"/>
        <w:jc w:val="both"/>
        <w:rPr>
          <w:lang w:val="it-IT"/>
        </w:rPr>
      </w:pPr>
      <w:r>
        <w:rPr>
          <w:spacing w:val="-1"/>
          <w:lang w:val="it-IT"/>
        </w:rPr>
        <w:t>Il nostro corpo, grazie all'azione di specifici enzimi, è in grado di metabolizzare sostanze come il lattosio, il glutine, la caffeina, l'alcol, i solfiti, il nichel e altre dopo il loro consumo. Questo processo consente a tali sostanze di essere utilizzate come nutrienti o evita che diventino dannose per l'organismo. Tuttavia, se un enzima specifico non funziona correttamente, possono insorgere problemi di salute legati all'incapacità di metabolizzare adeguatamente queste sostanze.</w:t>
      </w:r>
    </w:p>
    <w:p>
      <w:pPr>
        <w:pStyle w:val="BodyText"/>
        <w:spacing w:lineRule="auto" w:line="271"/>
        <w:ind w:left="0" w:right="98"/>
        <w:jc w:val="both"/>
        <w:rPr>
          <w:lang w:val="it-IT"/>
        </w:rPr>
      </w:pPr>
      <w:r>
        <w:rPr>
          <w:lang w:val="it-IT"/>
        </w:rPr>
      </w:r>
    </w:p>
    <w:p>
      <w:pPr>
        <w:pStyle w:val="BodyText"/>
        <w:spacing w:lineRule="auto" w:line="271"/>
        <w:ind w:left="0" w:right="98"/>
        <w:jc w:val="both"/>
        <w:rPr>
          <w:lang w:val="it-IT"/>
        </w:rPr>
      </w:pPr>
      <w:r>
        <w:rPr>
          <w:spacing w:val="-1"/>
          <w:lang w:val="it-IT"/>
        </w:rPr>
        <w:t xml:space="preserve">L'intolleranza al lattosio è un esempio noto di carenza enzimatica, in cui manca la lattasi, l'enzima responsabile della digestione del lattosio, lo zucchero presente nel latte. Un altro fenomeno ben conosciuto è la celiachia, in cui l'ingestione di glutine provoca una risposta immunitaria anomala che porta a infiammazione dell'intestino tenue, compromettendo l'assorbimento dei nutrienti e causando vari sintomi gastrointestinali e sistemici. Il test genetico permette di valutare la predisposizione di un individuo a sviluppare la malattia celiaca. </w:t>
      </w:r>
    </w:p>
    <w:p>
      <w:pPr>
        <w:pStyle w:val="BodyText"/>
        <w:spacing w:lineRule="auto" w:line="271"/>
        <w:ind w:left="0" w:right="98"/>
        <w:jc w:val="both"/>
        <w:rPr>
          <w:lang w:val="it-IT"/>
        </w:rPr>
      </w:pPr>
      <w:r>
        <w:rPr>
          <w:lang w:val="it-IT"/>
        </w:rPr>
      </w:r>
    </w:p>
    <w:p>
      <w:pPr>
        <w:pStyle w:val="BodyText"/>
        <w:spacing w:lineRule="auto" w:line="271"/>
        <w:ind w:left="0" w:right="98"/>
        <w:jc w:val="both"/>
        <w:rPr>
          <w:lang w:val="it-IT"/>
        </w:rPr>
      </w:pPr>
      <w:r>
        <w:rPr>
          <w:spacing w:val="-1"/>
          <w:lang w:val="it-IT"/>
        </w:rPr>
        <w:t>Allo stesso modo, possono essere analizzati altri importanti processi, come il metabolismo dell'alcol e della caffeina. In questa sezione scoprirai la tua risposta a queste sostanze e, in base al tuo profilo genetico, ti verranno dato le raccomandazioni più adatte.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7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testo_intolleranze_lungo</w:t>
      </w:r>
    </w:p>
    <w:p>
      <w:pPr>
        <w:pStyle w:val="Heading2"/>
        <w:ind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2"/>
        <w:ind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0"/>
        <w:gridCol w:w="2050"/>
        <w:gridCol w:w="2160"/>
        <w:gridCol w:w="1913"/>
        <w:gridCol w:w="2437"/>
      </w:tblGrid>
      <w:tr>
        <w:trPr>
          <w:trHeight w:val="454" w:hRule="atLeast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sz w:val="22"/>
                <w:szCs w:val="22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sz w:val="22"/>
                <w:szCs w:val="22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1"/>
        <w:gridCol w:w="2427"/>
        <w:gridCol w:w="2355"/>
        <w:gridCol w:w="1341"/>
        <w:gridCol w:w="2436"/>
      </w:tblGrid>
      <w:tr>
        <w:trPr>
          <w:trHeight w:val="454" w:hRule="atLeast"/>
        </w:trPr>
        <w:tc>
          <w:tcPr>
            <w:tcW w:w="1791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6" w:type="dxa"/>
            <w:tcBorders/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1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lang w:val="it-IT"/>
              </w:rPr>
            </w:pPr>
            <w:r>
              <w:rPr>
                <w:rFonts w:cs=""/>
                <w:b/>
                <w:bCs/>
                <w:kern w:val="0"/>
                <w:lang w:val="it-IT" w:eastAsia="en-US" w:bidi="ar-SA"/>
              </w:rPr>
              <w:t>METABOLIZZATORE VELOCE</w:t>
            </w:r>
          </w:p>
        </w:tc>
        <w:tc>
          <w:tcPr>
            <w:tcW w:w="2355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lang w:val="it-IT"/>
              </w:rPr>
            </w:pPr>
            <w:r>
              <w:rPr>
                <w:rFonts w:cs=""/>
                <w:b/>
                <w:bCs/>
                <w:kern w:val="0"/>
                <w:lang w:val="it-IT" w:eastAsia="en-US" w:bidi="ar-SA"/>
              </w:rPr>
              <w:t>METABOLIZZATORE LENTO</w:t>
            </w:r>
          </w:p>
        </w:tc>
        <w:tc>
          <w:tcPr>
            <w:tcW w:w="1341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6" w:type="dxa"/>
            <w:tcBorders/>
          </w:tcPr>
          <w:p>
            <w:pPr>
              <w:pStyle w:val="BodyText"/>
              <w:suppressAutoHyphens w:val="true"/>
              <w:spacing w:before="74" w:after="0"/>
              <w:ind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ind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left="108" w:right="98"/>
        <w:jc w:val="both"/>
        <w:rPr>
          <w:lang w:val="it-IT"/>
        </w:rPr>
      </w:pPr>
      <w:r>
        <w:rPr>
          <w:spacing w:val="-1"/>
          <w:lang w:val="it-IT"/>
        </w:rPr>
        <w:t xml:space="preserve">Il test si concentra esclusivamente sulle variazioni genetiche la cui correlazione con l'insorgenza di patologie complesse (come obesità, diabete di tipo 2 e malattie cardiovascolari) è supportata da un'ampia letteratura scientifica. Questo test rappresenta un utile strumento per il tuo benessere, ma </w:t>
      </w:r>
      <w:r>
        <w:rPr>
          <w:b/>
          <w:bCs/>
          <w:spacing w:val="-1"/>
          <w:lang w:val="it-IT"/>
        </w:rPr>
        <w:t>non costituisce una diagnosi clinica e non sostituisce il parere del medico</w:t>
      </w:r>
      <w:r>
        <w:rPr>
          <w:spacing w:val="-1"/>
          <w:lang w:val="it-IT"/>
        </w:rPr>
        <w:t xml:space="preserve">. I risultati devono essere valutati ed approvati alla luce della storia anamnestica personale su </w:t>
      </w:r>
      <w:r>
        <w:rPr>
          <w:b/>
          <w:bCs/>
          <w:spacing w:val="-1"/>
          <w:lang w:val="it-IT"/>
        </w:rPr>
        <w:t>verifica del medico 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  <w:lang w:val="it-IT"/>
        </w:rPr>
      </w:pPr>
      <w:r>
        <w:rPr>
          <w:rFonts w:eastAsia="Arial" w:cs="Arial" w:ascii="Arial" w:hAnsi="Arial"/>
          <w:b/>
          <w:bCs/>
          <w:sz w:val="25"/>
          <w:szCs w:val="25"/>
          <w:lang w:val="it-IT"/>
        </w:rPr>
      </w:r>
    </w:p>
    <w:p>
      <w:pPr>
        <w:pStyle w:val="Normal"/>
        <w:spacing w:before="80" w:after="0"/>
        <w:ind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ind w:left="108" w:right="423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4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ind w:left="108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Severity.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Brain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Sci.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10(8):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476.</w:t>
      </w:r>
    </w:p>
    <w:p>
      <w:pPr>
        <w:pStyle w:val="Normal"/>
        <w:spacing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ind w:left="108" w:right="27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ind w:left="108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diabetes</w:t>
      </w:r>
      <w:r>
        <w:rPr>
          <w:rFonts w:ascii="Times New Roman" w:hAnsi="Times New Roman"/>
          <w:i/>
          <w:spacing w:val="59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Meta-Analysis</w:t>
      </w:r>
      <w:r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Dec;18(12):2530-5.</w: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ind w:left="108" w:right="270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RodriguesFarias,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with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</w:t>
      </w:r>
      <w:r>
        <w:rPr>
          <w:rFonts w:ascii="Times New Roman" w:hAnsi="Times New Roman"/>
          <w:i/>
          <w:spacing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ind w:left="108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(2011).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4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ind w:left="108" w:right="270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PLoS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One.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Aug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ind w:left="108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</w:t>
      </w:r>
      <w:r>
        <w:rPr>
          <w:rFonts w:ascii="Times New Roman" w:hAnsi="Times New Roman"/>
          <w:i/>
          <w:spacing w:val="-1"/>
          <w:sz w:val="16"/>
        </w:rPr>
        <w:t>.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ind w:left="108" w:right="270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(2008).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the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Offspring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Study.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3353-3359</w: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ind w:left="108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disorders.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ind w:left="108" w:right="270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Arg389</w:t>
      </w:r>
      <w:r>
        <w:rPr>
          <w:rFonts w:ascii="Times New Roman" w:hAnsi="Times New Roman"/>
          <w:i/>
          <w:color w:val="202020"/>
          <w:spacing w:val="-1"/>
          <w:sz w:val="16"/>
        </w:rPr>
        <w:t>Gly</w:t>
      </w:r>
      <w:r>
        <w:rPr>
          <w:rFonts w:ascii="Times New Roman" w:hAnsi="Times New Roman"/>
          <w:i/>
          <w:color w:val="202020"/>
          <w:spacing w:val="8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ind w:left="108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(2009).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</w:p>
    <w:p>
      <w:pPr>
        <w:pStyle w:val="Normal"/>
        <w:ind w:left="10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tbl>
      <w:tblPr>
        <w:tblStyle w:val="TableNormal1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2"/>
        <w:gridCol w:w="2209"/>
        <w:gridCol w:w="1848"/>
        <w:gridCol w:w="2318"/>
        <w:gridCol w:w="2512"/>
      </w:tblGrid>
      <w:tr>
        <w:trPr>
          <w:trHeight w:val="1262" w:hRule="exact"/>
        </w:trPr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uppressAutoHyphens w:val="true"/>
              <w:spacing w:lineRule="auto" w:line="276" w:before="26" w:after="0"/>
              <w:ind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suppressAutoHyphens w:val="true"/>
              <w:spacing w:lineRule="auto" w:line="276" w:before="47" w:after="0"/>
              <w:ind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suppressAutoHyphens w:val="true"/>
              <w:spacing w:lineRule="auto" w:line="276" w:before="47" w:after="0"/>
              <w:ind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eastAsia="Calibri" w:cs=""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eastAsia="Calibri" w:cs=""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eastAsia="Calibri" w:cs=""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eastAsia="Calibri" w:cs=""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eastAsia="Calibri" w:cs=""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8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suppressAutoHyphens w:val="true"/>
              <w:spacing w:lineRule="auto" w:line="276" w:before="25" w:after="0"/>
              <w:ind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suppressAutoHyphens w:val="true"/>
              <w:spacing w:lineRule="auto" w:line="276" w:before="25" w:after="0"/>
              <w:ind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eastAsia="Calibri" w:cs=""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eastAsia="Calibri" w:cs=""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eastAsia="Calibri" w:cs=""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eastAsia="Calibri" w:cs=""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eastAsia="Calibri" w:cs=""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suppressAutoHyphens w:val="true"/>
              <w:spacing w:lineRule="auto" w:line="276" w:before="47" w:after="0"/>
              <w:ind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suppressAutoHyphens w:val="true"/>
              <w:spacing w:lineRule="auto" w:line="276" w:before="46" w:after="0"/>
              <w:ind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eastAsia="Calibri" w:cs=""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eastAsia="Calibri" w:cs=""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eastAsia="Calibri" w:cs=""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eastAsia="Calibri" w:cs=""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eastAsia="Calibri" w:cs=""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suppressAutoHyphens w:val="true"/>
              <w:spacing w:lineRule="auto" w:line="276" w:before="25" w:after="0"/>
              <w:ind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suppressAutoHyphens w:val="true"/>
              <w:spacing w:lineRule="auto" w:line="276" w:before="25" w:after="0"/>
              <w:ind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eastAsia="Calibri" w:cs=""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eastAsia="Calibri" w:cs=""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eastAsia="Calibri" w:cs=""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eastAsia="Calibri" w:cs=""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eastAsia="Calibri" w:cs=""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5" w:footer="211" w:bottom="4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8552"/>
      <w:gridCol w:w="1873"/>
    </w:tblGrid>
    <w:tr>
      <w:trPr/>
      <w:tc>
        <w:tcPr>
          <w:tcW w:w="8552" w:type="dxa"/>
          <w:tcBorders/>
        </w:tcPr>
        <w:p>
          <w:pPr>
            <w:pStyle w:val="TableContents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footernote</w:t>
          </w:r>
        </w:p>
      </w:tc>
      <w:tc>
        <w:tcPr>
          <w:tcW w:w="1873" w:type="dxa"/>
          <w:tcBorders/>
        </w:tcPr>
        <w:p>
          <w:pPr>
            <w:pStyle w:val="TableContents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8552"/>
      <w:gridCol w:w="1873"/>
    </w:tblGrid>
    <w:tr>
      <w:trPr/>
      <w:tc>
        <w:tcPr>
          <w:tcW w:w="8552" w:type="dxa"/>
          <w:tcBorders/>
        </w:tcPr>
        <w:p>
          <w:pPr>
            <w:pStyle w:val="TableContents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footernote</w:t>
          </w:r>
        </w:p>
      </w:tc>
      <w:tc>
        <w:tcPr>
          <w:tcW w:w="1873" w:type="dxa"/>
          <w:tcBorders/>
        </w:tcPr>
        <w:p>
          <w:pPr>
            <w:pStyle w:val="TableContents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06c5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06c52"/>
    <w:rPr/>
  </w:style>
  <w:style w:type="character" w:styleId="Hyperlink">
    <w:name w:val="Hyperlink"/>
    <w:rPr>
      <w:color w:val="000080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477051"/>
    <w:rPr>
      <w:rFonts w:ascii="Arial" w:hAnsi="Arial" w:eastAsia="Arial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>
      <w:ind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d070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6</Pages>
  <Words>1073</Words>
  <Characters>6719</Characters>
  <CharactersWithSpaces>7679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2021-09-22T13:24:00Z</dcterms:created>
  <dc:creator>Alessandra</dc:creator>
  <dc:description/>
  <dc:language>en-US</dc:language>
  <cp:lastModifiedBy/>
  <dcterms:modified xsi:type="dcterms:W3CDTF">2026-03-09T14:54:10Z</dcterms:modified>
  <cp:revision>34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LastSaved">
    <vt:filetime>2021-09-22T00:00:00Z</vt:filetime>
  </property>
</Properties>
</file>