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media/image2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4" w:after="0"/>
        <w:rPr>
          <w:rFonts w:ascii="Times New Roman" w:hAnsi="Times New Roman" w:eastAsia="Times New Roman" w:cs="Times New Roman"/>
          <w:sz w:val="25"/>
          <w:szCs w:val="25"/>
        </w:rPr>
      </w:pPr>
      <w:r>
        <w:rPr>
          <w:rFonts w:eastAsia="Times New Roman" w:cs="Times New Roman" w:ascii="Times New Roman" w:hAnsi="Times New Roman"/>
          <w:sz w:val="25"/>
          <w:szCs w:val="25"/>
        </w:rPr>
        <mc:AlternateContent>
          <mc:Choice Requires="wps">
            <w:drawing>
              <wp:anchor behindDoc="0" distT="635" distB="635" distL="1270" distR="0" simplePos="0" locked="0" layoutInCell="1" allowOverlap="1" relativeHeight="3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58915" cy="114300"/>
                <wp:effectExtent l="1270" t="635" r="0" b="635"/>
                <wp:wrapNone/>
                <wp:docPr id="1" name="Shap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8840" cy="114480"/>
                        </a:xfrm>
                        <a:prstGeom prst="rect">
                          <a:avLst/>
                        </a:prstGeom>
                        <a:solidFill>
                          <a:srgbClr val="e32c56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1" path="m0,0l-2147483645,0l-2147483645,-2147483646l0,-2147483646xe" fillcolor="#e32c56" stroked="t" o:allowincell="f" style="position:absolute;margin-left:2.4pt;margin-top:4.05pt;width:516.4pt;height:8.95pt;mso-wrap-style:none;v-text-anchor:middle">
                <v:fill o:detectmouseclick="t" type="solid" color2="#1cd3a9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9" w:after="0"/>
        <w:rPr>
          <w:rFonts w:ascii="Times New Roman" w:hAnsi="Times New Roman" w:eastAsia="Times New Roman" w:cs="Times New Roman"/>
          <w:sz w:val="14"/>
          <w:szCs w:val="14"/>
        </w:rPr>
      </w:pPr>
      <w:r>
        <w:rPr>
          <w:rFonts w:eastAsia="Times New Roman" w:cs="Times New Roman" w:ascii="Times New Roman" w:hAnsi="Times New Roman"/>
          <w:sz w:val="14"/>
          <w:szCs w:val="14"/>
        </w:rPr>
      </w:r>
    </w:p>
    <w:p>
      <w:pPr>
        <w:pStyle w:val="Normal"/>
        <w:widowControl w:val="false"/>
        <w:suppressAutoHyphens w:val="true"/>
        <w:bidi w:val="0"/>
        <w:spacing w:before="27" w:after="0"/>
        <w:ind w:hanging="0" w:left="3509" w:right="3329"/>
        <w:jc w:val="center"/>
        <w:rPr>
          <w:rFonts w:ascii="Calibri" w:hAnsi="Calibri" w:eastAsia="Calibri" w:cs="Calibri"/>
          <w:sz w:val="36"/>
          <w:szCs w:val="36"/>
        </w:rPr>
      </w:pPr>
      <w:r>
        <w:rPr>
          <w:b/>
          <w:color w:val="E32C56"/>
          <w:spacing w:val="-1"/>
          <w:sz w:val="36"/>
        </w:rPr>
        <w:t>test_title</w:t>
      </w:r>
    </w:p>
    <w:p>
      <w:pPr>
        <w:pStyle w:val="Normal"/>
        <w:spacing w:before="4" w:after="0"/>
        <w:rPr>
          <w:rFonts w:ascii="Calibri" w:hAnsi="Calibri" w:eastAsia="Calibri" w:cs="Calibri"/>
          <w:b/>
          <w:bCs/>
          <w:sz w:val="16"/>
          <w:szCs w:val="16"/>
        </w:rPr>
      </w:pPr>
      <w:r>
        <w:rPr>
          <w:rFonts w:eastAsia="Calibri" w:cs="Calibri"/>
          <w:b/>
          <w:bCs/>
          <w:sz w:val="16"/>
          <w:szCs w:val="16"/>
        </w:rPr>
      </w:r>
    </w:p>
    <w:p>
      <w:pPr>
        <w:pStyle w:val="Normal"/>
        <w:spacing w:lineRule="atLeast" w:line="190"/>
        <w:ind w:hanging="0" w:left="124"/>
        <w:rPr>
          <w:rFonts w:ascii="Calibri" w:hAnsi="Calibri" w:eastAsia="Calibri" w:cs="Calibri"/>
          <w:sz w:val="19"/>
          <w:szCs w:val="19"/>
        </w:rPr>
      </w:pPr>
      <w:r>
        <w:rPr>
          <w:rFonts w:eastAsia="Calibri" w:cs="Calibri"/>
          <w:sz w:val="19"/>
          <w:szCs w:val="19"/>
        </w:rPr>
        <mc:AlternateContent>
          <mc:Choice Requires="wps">
            <w:drawing>
              <wp:anchor behindDoc="0" distT="635" distB="635" distL="1270" distR="0" simplePos="0" locked="0" layoutInCell="1" allowOverlap="1" relativeHeight="4">
                <wp:simplePos x="0" y="0"/>
                <wp:positionH relativeFrom="column">
                  <wp:posOffset>30480</wp:posOffset>
                </wp:positionH>
                <wp:positionV relativeFrom="paragraph">
                  <wp:posOffset>51435</wp:posOffset>
                </wp:positionV>
                <wp:extent cx="6558915" cy="114300"/>
                <wp:effectExtent l="1270" t="635" r="0" b="635"/>
                <wp:wrapNone/>
                <wp:docPr id="2" name="Shap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58840" cy="114480"/>
                        </a:xfrm>
                        <a:prstGeom prst="rect">
                          <a:avLst/>
                        </a:prstGeom>
                        <a:solidFill>
                          <a:srgbClr val="e32c56"/>
                        </a:solidFill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Shape 2" path="m0,0l-2147483645,0l-2147483645,-2147483646l0,-2147483646xe" fillcolor="#e32c56" stroked="t" o:allowincell="f" style="position:absolute;margin-left:2.4pt;margin-top:4.05pt;width:516.4pt;height:8.95pt;mso-wrap-style:none;v-text-anchor:middle">
                <v:fill o:detectmouseclick="t" type="solid" color2="#1cd3a9"/>
                <v:stroke color="#3465a4" joinstyle="round" endcap="flat"/>
                <w10:wrap type="none"/>
              </v:rect>
            </w:pict>
          </mc:Fallback>
        </mc:AlternateContent>
      </w:r>
    </w:p>
    <w:p>
      <w:pPr>
        <w:pStyle w:val="Normal"/>
        <w:spacing w:before="9" w:after="0"/>
        <w:rPr>
          <w:rFonts w:ascii="Calibri" w:hAnsi="Calibri" w:eastAsia="Calibri" w:cs="Calibri"/>
          <w:b/>
          <w:bCs/>
          <w:sz w:val="23"/>
          <w:szCs w:val="23"/>
        </w:rPr>
      </w:pPr>
      <w:r>
        <w:rPr>
          <w:rFonts w:eastAsia="Calibri" w:cs="Calibri"/>
          <w:b/>
          <w:bCs/>
          <w:sz w:val="23"/>
          <w:szCs w:val="23"/>
        </w:rPr>
      </w:r>
    </w:p>
    <w:p>
      <w:pPr>
        <w:pStyle w:val="Normal"/>
        <w:spacing w:before="58" w:after="0"/>
        <w:ind w:hanging="0" w:left="108"/>
        <w:rPr>
          <w:rFonts w:ascii="Arial" w:hAnsi="Arial"/>
          <w:b/>
          <w:spacing w:val="-1"/>
          <w:sz w:val="28"/>
        </w:rPr>
      </w:pPr>
      <w:r>
        <w:rPr>
          <w:rFonts w:eastAsia="Calibri" w:cs="" w:ascii="Arial" w:hAnsi="Arial" w:cstheme="minorBidi" w:eastAsiaTheme="minorHAnsi"/>
          <w:b/>
          <w:color w:val="auto"/>
          <w:spacing w:val="-1"/>
          <w:kern w:val="0"/>
          <w:sz w:val="32"/>
          <w:szCs w:val="22"/>
          <w:lang w:val="en-US" w:eastAsia="en-US" w:bidi="ar-SA"/>
        </w:rPr>
        <w:t>intestaz_sex</w:t>
      </w:r>
      <w:r>
        <w:rPr>
          <w:rFonts w:ascii="Arial" w:hAnsi="Arial"/>
          <w:b/>
          <w:spacing w:val="-26"/>
          <w:sz w:val="32"/>
        </w:rPr>
        <w:t xml:space="preserve"> </w:t>
      </w:r>
      <w:r>
        <w:rPr>
          <w:rFonts w:ascii="Arial" w:hAnsi="Arial"/>
          <w:b/>
          <w:spacing w:val="-1"/>
          <w:sz w:val="32"/>
          <w:szCs w:val="24"/>
        </w:rPr>
        <w:t>&lt;nome&gt;</w:t>
      </w:r>
    </w:p>
    <w:p>
      <w:pPr>
        <w:pStyle w:val="Normal"/>
        <w:spacing w:before="58" w:after="0"/>
        <w:ind w:hanging="0" w:left="108"/>
        <w:rPr>
          <w:rFonts w:ascii="Arial" w:hAnsi="Arial" w:eastAsia="Arial" w:cs="Arial"/>
          <w:sz w:val="28"/>
          <w:szCs w:val="28"/>
        </w:rPr>
      </w:pPr>
      <w:r>
        <w:rPr>
          <w:rFonts w:eastAsia="Arial" w:cs="Arial" w:ascii="Arial" w:hAnsi="Arial"/>
          <w:sz w:val="28"/>
          <w:szCs w:val="28"/>
        </w:rPr>
      </w:r>
    </w:p>
    <w:tbl>
      <w:tblPr>
        <w:tblStyle w:val="Grigliatabella"/>
        <w:tblW w:w="1017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20"/>
        <w:gridCol w:w="3233"/>
        <w:gridCol w:w="3617"/>
      </w:tblGrid>
      <w:tr>
        <w:trPr>
          <w:trHeight w:val="787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bCs/>
                <w:spacing w:val="-1"/>
                <w:kern w:val="0"/>
                <w:sz w:val="24"/>
                <w:szCs w:val="24"/>
                <w:lang w:val="en-US" w:eastAsia="en-US" w:bidi="ar-SA"/>
              </w:rPr>
              <w:t>N° ACCETTAZIONE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&lt;NrAcc&gt;</w:t>
            </w:r>
          </w:p>
        </w:tc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 REFERTAZIONE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1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&lt;timestamp&gt;</w:t>
            </w:r>
          </w:p>
        </w:tc>
        <w:tc>
          <w:tcPr>
            <w:tcW w:w="361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89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DATA DI</w:t>
            </w:r>
            <w:r>
              <w:rPr>
                <w:rFonts w:ascii="Arial" w:hAnsi="Arial"/>
                <w:b/>
                <w:spacing w:val="-3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NASCITA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&lt;datanasc&gt;</w:t>
            </w:r>
          </w:p>
        </w:tc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5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kern w:val="0"/>
                <w:sz w:val="24"/>
                <w:szCs w:val="22"/>
                <w:lang w:val="en-US" w:eastAsia="en-US" w:bidi="ar-SA"/>
              </w:rPr>
              <w:t>SESSO</w:t>
            </w:r>
          </w:p>
          <w:p>
            <w:pPr>
              <w:pStyle w:val="Normal"/>
              <w:widowControl w:val="false"/>
              <w:suppressAutoHyphens w:val="true"/>
              <w:spacing w:lineRule="exact" w:line="271" w:before="12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eastAsia="Arial" w:cs="Arial" w:ascii="Arial" w:hAnsi="Arial"/>
                <w:kern w:val="0"/>
                <w:sz w:val="24"/>
                <w:szCs w:val="24"/>
                <w:lang w:val="en-US" w:eastAsia="en-US" w:bidi="ar-SA"/>
              </w:rPr>
              <w:t>&lt;sex&gt;</w:t>
            </w:r>
          </w:p>
        </w:tc>
        <w:tc>
          <w:tcPr>
            <w:tcW w:w="361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58" w:after="0"/>
              <w:jc w:val="left"/>
              <w:rPr>
                <w:rFonts w:ascii="Arial" w:hAnsi="Arial" w:eastAsia="Arial" w:cs="Arial"/>
                <w:sz w:val="28"/>
                <w:szCs w:val="28"/>
              </w:rPr>
            </w:pPr>
            <w:r>
              <w:rPr>
                <w:rFonts w:eastAsia="Arial" w:cs="Arial" w:ascii="Arial" w:hAnsi="Arial"/>
                <w:sz w:val="28"/>
                <w:szCs w:val="28"/>
              </w:rPr>
            </w:r>
          </w:p>
        </w:tc>
      </w:tr>
      <w:tr>
        <w:trPr>
          <w:trHeight w:val="544" w:hRule="atLeast"/>
        </w:trPr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PESO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(kg):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&lt;weight&gt;</w:t>
            </w:r>
          </w:p>
        </w:tc>
        <w:tc>
          <w:tcPr>
            <w:tcW w:w="3233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STATURA</w:t>
            </w:r>
            <w:r>
              <w:rPr>
                <w:rFonts w:ascii="Arial" w:hAnsi="Arial"/>
                <w:b/>
                <w:spacing w:val="-4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 xml:space="preserve">(cm): </w:t>
            </w:r>
            <w:r>
              <w:rPr>
                <w:rFonts w:ascii="Arial" w:hAnsi="Arial"/>
                <w:bCs/>
                <w:spacing w:val="-1"/>
                <w:kern w:val="0"/>
                <w:sz w:val="24"/>
                <w:szCs w:val="22"/>
                <w:lang w:val="en-US" w:eastAsia="en-US" w:bidi="ar-SA"/>
              </w:rPr>
              <w:t>&lt;height&gt;</w:t>
            </w:r>
          </w:p>
        </w:tc>
        <w:tc>
          <w:tcPr>
            <w:tcW w:w="3617" w:type="dxa"/>
            <w:tcBorders>
              <w:top w:val="nil"/>
              <w:left w:val="nil"/>
              <w:bottom w:val="nil"/>
              <w:right w:val="nil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widowControl w:val="false"/>
              <w:suppressAutoHyphens w:val="true"/>
              <w:spacing w:lineRule="exact" w:line="240" w:before="0" w:after="0"/>
              <w:jc w:val="left"/>
              <w:rPr>
                <w:rFonts w:ascii="Arial" w:hAnsi="Arial" w:eastAsia="Arial" w:cs="Arial"/>
                <w:sz w:val="24"/>
                <w:szCs w:val="24"/>
                <w:u w:val="single"/>
              </w:rPr>
            </w:pPr>
            <w:r>
              <w:rPr>
                <w:rFonts w:ascii="Arial" w:hAnsi="Arial"/>
                <w:b/>
                <w:spacing w:val="-1"/>
                <w:kern w:val="0"/>
                <w:sz w:val="24"/>
                <w:szCs w:val="22"/>
                <w:lang w:val="en-US" w:eastAsia="en-US" w:bidi="ar-SA"/>
              </w:rPr>
              <w:t>BMI:</w:t>
            </w:r>
            <w:r>
              <w:rPr>
                <w:rFonts w:ascii="Arial" w:hAnsi="Arial"/>
                <w:b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kern w:val="0"/>
                <w:sz w:val="24"/>
                <w:szCs w:val="22"/>
                <w:lang w:val="en-US" w:eastAsia="en-US" w:bidi="ar-SA"/>
              </w:rPr>
              <w:t>&lt;bmi&gt;</w:t>
            </w:r>
          </w:p>
        </w:tc>
      </w:tr>
    </w:tbl>
    <w:p>
      <w:pPr>
        <w:pStyle w:val="Normal"/>
        <w:spacing w:before="2" w:after="0"/>
        <w:rPr>
          <w:rFonts w:ascii="Arial" w:hAnsi="Arial" w:eastAsia="Arial" w:cs="Arial"/>
          <w:b/>
          <w:bCs/>
          <w:sz w:val="15"/>
          <w:szCs w:val="15"/>
          <w:lang w:val="it-IT"/>
        </w:rPr>
      </w:pPr>
      <w:r>
        <w:rPr>
          <w:rFonts w:eastAsia="Arial" w:cs="Arial" w:ascii="Arial" w:hAnsi="Arial"/>
          <w:b/>
          <w:bCs/>
          <w:sz w:val="15"/>
          <w:szCs w:val="15"/>
          <w:lang w:val="it-IT"/>
        </w:rPr>
      </w:r>
    </w:p>
    <w:p>
      <w:pPr>
        <w:pStyle w:val="Normal"/>
        <w:spacing w:before="72" w:after="0"/>
        <w:ind w:hanging="0" w:left="1709"/>
        <w:rPr>
          <w:rFonts w:ascii="Arial" w:hAnsi="Arial" w:eastAsia="Arial" w:cs="Arial"/>
          <w:lang w:val="it-IT"/>
        </w:rPr>
      </w:pPr>
      <w:r>
        <w:rPr>
          <w:rFonts w:ascii="Arial" w:hAnsi="Arial"/>
          <w:spacing w:val="-1"/>
          <w:lang w:val="it-IT"/>
        </w:rPr>
        <w:t>Sintesi degli esiti rilevati sulla base delle condizioni genetiche</w:t>
      </w:r>
      <w:r>
        <w:rPr>
          <w:rFonts w:ascii="Arial" w:hAnsi="Arial"/>
          <w:spacing w:val="-2"/>
          <w:lang w:val="it-IT"/>
        </w:rPr>
        <w:t xml:space="preserve"> </w:t>
      </w:r>
      <w:r>
        <w:rPr>
          <w:rFonts w:ascii="Arial" w:hAnsi="Arial"/>
          <w:spacing w:val="-1"/>
          <w:lang w:val="it-IT"/>
        </w:rPr>
        <w:t>indagate:</w:t>
      </w:r>
    </w:p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54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27" w:after="0"/>
              <w:ind w:hanging="0" w:right="65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AUMENTO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 PESO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&lt;valpeso_sintesi&gt; PREDISPOSIZIONE GENETICA</w:t>
            </w:r>
          </w:p>
        </w:tc>
      </w:tr>
    </w:tbl>
    <w:p>
      <w:pPr>
        <w:pStyle w:val="Normal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72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DIABETE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DI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2"/>
                <w:lang w:val="en-US" w:eastAsia="en-US" w:bidi="ar-SA"/>
              </w:rPr>
              <w:t>TIPO</w:t>
            </w:r>
            <w:r>
              <w:rPr>
                <w:rFonts w:ascii="Arial" w:hAnsi="Arial"/>
                <w:b/>
                <w:color w:val="F49D16"/>
                <w:spacing w:val="1"/>
                <w:kern w:val="0"/>
                <w:sz w:val="24"/>
                <w:szCs w:val="22"/>
                <w:lang w:val="en-US" w:eastAsia="en-US" w:bidi="ar-SA"/>
              </w:rPr>
              <w:t xml:space="preserve"> 2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&lt;valt2d_sintesi&gt;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25"/>
          <w:szCs w:val="25"/>
          <w:lang w:val="it-IT"/>
        </w:rPr>
      </w:pPr>
      <w:r>
        <w:rPr>
          <w:rFonts w:eastAsia="Arial" w:cs="Arial" w:ascii="Arial" w:hAnsi="Arial"/>
          <w:sz w:val="25"/>
          <w:szCs w:val="25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399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sz w:val="24"/>
                <w:szCs w:val="24"/>
              </w:rPr>
            </w:pP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PATOLOGIE</w:t>
            </w:r>
            <w:r>
              <w:rPr>
                <w:rFonts w:ascii="Arial" w:hAnsi="Arial"/>
                <w:b/>
                <w:color w:val="F49D16"/>
                <w:spacing w:val="-5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49D16"/>
                <w:spacing w:val="-1"/>
                <w:kern w:val="0"/>
                <w:sz w:val="24"/>
                <w:szCs w:val="24"/>
                <w:lang w:val="en-US" w:eastAsia="en-US" w:bidi="ar-SA"/>
              </w:rPr>
              <w:t>CARDIOVASCOLARI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F79646" w:themeFill="accent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2"/>
                <w:kern w:val="0"/>
                <w:sz w:val="22"/>
                <w:szCs w:val="22"/>
                <w:lang w:val="it-IT" w:eastAsia="en-US" w:bidi="ar-SA"/>
              </w:rPr>
              <w:t xml:space="preserve">&lt;valcardio_sintesi&gt;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22"/>
                <w:szCs w:val="22"/>
                <w:lang w:val="it-IT" w:eastAsia="en-US" w:bidi="ar-SA"/>
              </w:rPr>
              <w:t>PREDISPOSIZIONE GENETICA</w:t>
            </w:r>
          </w:p>
        </w:tc>
      </w:tr>
    </w:tbl>
    <w:p>
      <w:pPr>
        <w:pStyle w:val="Normal"/>
        <w:spacing w:before="3" w:after="0"/>
        <w:rPr>
          <w:rFonts w:ascii="Arial" w:hAnsi="Arial" w:eastAsia="Arial" w:cs="Arial"/>
          <w:sz w:val="25"/>
          <w:szCs w:val="25"/>
          <w:lang w:val="it-IT"/>
        </w:rPr>
      </w:pPr>
      <w:r>
        <w:rPr>
          <w:rFonts w:eastAsia="Arial" w:cs="Arial" w:ascii="Arial" w:hAnsi="Arial"/>
          <w:sz w:val="25"/>
          <w:szCs w:val="25"/>
          <w:lang w:val="it-IT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color w:val="92D050"/>
                <w:sz w:val="24"/>
                <w:szCs w:val="24"/>
              </w:rPr>
            </w:pPr>
            <w:r>
              <w:rPr>
                <w:rFonts w:ascii="Arial" w:hAnsi="Arial"/>
                <w:b/>
                <w:color w:val="92D050"/>
                <w:spacing w:val="-1"/>
                <w:kern w:val="0"/>
                <w:sz w:val="24"/>
                <w:szCs w:val="24"/>
                <w:lang w:val="en-US" w:eastAsia="en-US" w:bidi="ar-SA"/>
              </w:rPr>
              <w:t>PREDISPOSIZIONE GENETICA ALLE INTOLLERANZE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92CF50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lang w:val="it-IT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it-IT" w:eastAsia="en-US" w:bidi="ar-SA"/>
              </w:rPr>
              <w:t>&lt;testo_intolleranze&gt;</w:t>
            </w:r>
          </w:p>
        </w:tc>
      </w:tr>
    </w:tbl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tbl>
      <w:tblPr>
        <w:tblStyle w:val="Grigliatabella"/>
        <w:tblW w:w="10080" w:type="dxa"/>
        <w:jc w:val="left"/>
        <w:tblInd w:w="2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0080"/>
      </w:tblGrid>
      <w:tr>
        <w:trPr>
          <w:trHeight w:val="417" w:hRule="atLeast"/>
        </w:trPr>
        <w:tc>
          <w:tcPr>
            <w:tcW w:w="10080" w:type="dxa"/>
            <w:tcBorders/>
            <w:vAlign w:val="center"/>
          </w:tcPr>
          <w:p>
            <w:pPr>
              <w:pStyle w:val="Normal"/>
              <w:widowControl w:val="false"/>
              <w:tabs>
                <w:tab w:val="clear" w:pos="720"/>
                <w:tab w:val="left" w:pos="9255" w:leader="none"/>
                <w:tab w:val="left" w:pos="9525" w:leader="none"/>
              </w:tabs>
              <w:suppressAutoHyphens w:val="true"/>
              <w:spacing w:before="27" w:after="0"/>
              <w:ind w:hanging="0" w:right="66"/>
              <w:jc w:val="center"/>
              <w:rPr>
                <w:rFonts w:ascii="Arial" w:hAnsi="Arial" w:eastAsia="Arial" w:cs="Arial"/>
                <w:b/>
                <w:bCs/>
                <w:color w:val="CC2A58"/>
                <w:sz w:val="24"/>
                <w:szCs w:val="24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color w:val="CC2A58"/>
                <w:kern w:val="0"/>
                <w:sz w:val="24"/>
                <w:szCs w:val="24"/>
                <w:lang w:val="it-IT" w:eastAsia="en-US" w:bidi="ar-SA"/>
              </w:rPr>
              <w:t>ASSORBIMENTO E METABOLISMO DI MINERALI E VITAMINE</w:t>
            </w:r>
          </w:p>
        </w:tc>
      </w:tr>
      <w:tr>
        <w:trPr>
          <w:trHeight w:val="354" w:hRule="atLeast"/>
        </w:trPr>
        <w:tc>
          <w:tcPr>
            <w:tcW w:w="10080" w:type="dxa"/>
            <w:tcBorders/>
            <w:shd w:color="auto" w:fill="CC2A58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25" w:after="0"/>
              <w:jc w:val="center"/>
              <w:rPr>
                <w:rFonts w:ascii="Arial" w:hAnsi="Arial" w:eastAsia="Arial" w:cs="Arial"/>
                <w:color w:themeColor="background1" w:val="FFFFFF"/>
                <w:lang w:val="it-IT"/>
              </w:rPr>
            </w:pPr>
            <w:r>
              <w:rPr>
                <w:rFonts w:eastAsia="Arial" w:cs="Arial" w:ascii="Arial" w:hAnsi="Arial"/>
                <w:color w:themeColor="background1" w:val="FFFFFF"/>
                <w:kern w:val="0"/>
                <w:sz w:val="22"/>
                <w:szCs w:val="22"/>
                <w:lang w:val="it-IT" w:eastAsia="en-US" w:bidi="ar-SA"/>
              </w:rPr>
              <w:t>&lt;testo_assorbimento&gt;</w:t>
            </w:r>
          </w:p>
        </w:tc>
      </w:tr>
    </w:tbl>
    <w:p>
      <w:pPr>
        <w:pStyle w:val="BodyText"/>
        <w:tabs>
          <w:tab w:val="clear" w:pos="720"/>
          <w:tab w:val="left" w:pos="5274" w:leader="none"/>
        </w:tabs>
        <w:spacing w:lineRule="atLeast" w:line="200"/>
        <w:ind w:hanging="0" w:left="390"/>
        <w:rPr>
          <w:rFonts w:cs="Arial"/>
        </w:rPr>
      </w:pPr>
      <w:r>
        <w:rPr>
          <w:position w:val="20"/>
        </w:rPr>
        <w:tab/>
      </w:r>
    </w:p>
    <w:p>
      <w:pPr>
        <w:pStyle w:val="Normal"/>
        <w:rPr>
          <w:rFonts w:ascii="Arial" w:hAnsi="Arial" w:eastAsia="Arial" w:cs="Arial"/>
        </w:rPr>
      </w:pPr>
      <w:r>
        <w:rPr>
          <w:rFonts w:eastAsia="Arial" w:cs="Arial" w:ascii="Arial" w:hAnsi="Arial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4998085</wp:posOffset>
            </wp:positionH>
            <wp:positionV relativeFrom="paragraph">
              <wp:posOffset>132715</wp:posOffset>
            </wp:positionV>
            <wp:extent cx="1583690" cy="557530"/>
            <wp:effectExtent l="0" t="0" r="0" b="0"/>
            <wp:wrapSquare wrapText="largest"/>
            <wp:docPr id="3" name="image3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.jpe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369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200"/>
        <w:ind w:hanging="0" w:left="124"/>
        <w:rPr>
          <w:rFonts w:ascii="Arial" w:hAnsi="Arial" w:eastAsia="Arial" w:cs="Arial"/>
          <w:sz w:val="20"/>
          <w:szCs w:val="20"/>
        </w:rPr>
      </w:pPr>
      <w:r>
        <w:rPr/>
        <w:drawing>
          <wp:inline distT="0" distB="0" distL="0" distR="0">
            <wp:extent cx="1431925" cy="607060"/>
            <wp:effectExtent l="0" t="0" r="0" b="0"/>
            <wp:docPr id="4" name="image2.jpe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1925" cy="60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1" w:after="0"/>
        <w:rPr>
          <w:rFonts w:ascii="Arial" w:hAnsi="Arial" w:eastAsia="Arial" w:cs="Arial"/>
          <w:sz w:val="27"/>
          <w:szCs w:val="27"/>
        </w:rPr>
      </w:pPr>
      <w:r>
        <w:rPr>
          <w:rFonts w:eastAsia="Arial" w:cs="Arial" w:ascii="Arial" w:hAnsi="Arial"/>
          <w:sz w:val="27"/>
          <w:szCs w:val="27"/>
        </w:rPr>
      </w:r>
    </w:p>
    <w:p>
      <w:pPr>
        <w:pStyle w:val="Heading2"/>
        <w:spacing w:lineRule="auto" w:line="276" w:before="56" w:after="0"/>
        <w:ind w:hanging="0" w:left="108" w:right="168"/>
        <w:rPr>
          <w:rFonts w:ascii="Arial" w:hAnsi="Arial" w:cs="Arial"/>
          <w:b w:val="false"/>
          <w:bCs w:val="false"/>
          <w:sz w:val="20"/>
          <w:szCs w:val="20"/>
          <w:lang w:val="it-IT"/>
        </w:rPr>
      </w:pPr>
      <w:r>
        <w:rPr>
          <w:rFonts w:cs="Arial" w:ascii="Arial" w:hAnsi="Arial"/>
          <w:sz w:val="20"/>
          <w:szCs w:val="20"/>
          <w:u w:val="single" w:color="000000"/>
          <w:lang w:val="it-IT"/>
        </w:rPr>
        <w:t>N.B.</w:t>
      </w:r>
      <w:r>
        <w:rPr>
          <w:rFonts w:cs="Arial" w:ascii="Arial" w:hAnsi="Arial"/>
          <w:spacing w:val="48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z w:val="20"/>
          <w:szCs w:val="20"/>
          <w:u w:val="single" w:color="000000"/>
          <w:lang w:val="it-IT"/>
        </w:rPr>
        <w:t>La</w:t>
      </w:r>
      <w:r>
        <w:rPr>
          <w:rFonts w:cs="Arial" w:ascii="Arial" w:hAnsi="Arial"/>
          <w:spacing w:val="47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sintesi</w:t>
      </w:r>
      <w:r>
        <w:rPr>
          <w:rFonts w:cs="Arial" w:ascii="Arial" w:hAnsi="Arial"/>
          <w:spacing w:val="47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sopra</w:t>
      </w:r>
      <w:r>
        <w:rPr>
          <w:rFonts w:cs="Arial" w:ascii="Arial" w:hAnsi="Arial"/>
          <w:spacing w:val="48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riportata</w:t>
      </w:r>
      <w:r>
        <w:rPr>
          <w:rFonts w:cs="Arial" w:ascii="Arial" w:hAnsi="Arial"/>
          <w:spacing w:val="48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non</w:t>
      </w:r>
      <w:r>
        <w:rPr>
          <w:rFonts w:cs="Arial" w:ascii="Arial" w:hAnsi="Arial"/>
          <w:spacing w:val="44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z w:val="20"/>
          <w:szCs w:val="20"/>
          <w:u w:val="single" w:color="000000"/>
          <w:lang w:val="it-IT"/>
        </w:rPr>
        <w:t>è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una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diagnosi</w:t>
      </w:r>
      <w:r>
        <w:rPr>
          <w:rFonts w:cs="Arial" w:ascii="Arial" w:hAnsi="Arial"/>
          <w:spacing w:val="46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clinica</w:t>
      </w:r>
      <w:r>
        <w:rPr>
          <w:rFonts w:cs="Arial" w:ascii="Arial" w:hAnsi="Arial"/>
          <w:spacing w:val="47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(le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diagnosi</w:t>
      </w:r>
      <w:r>
        <w:rPr>
          <w:rFonts w:cs="Arial" w:ascii="Arial" w:hAnsi="Arial"/>
          <w:spacing w:val="44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cliniche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spettano</w:t>
      </w:r>
      <w:r>
        <w:rPr>
          <w:rFonts w:cs="Arial" w:ascii="Arial" w:hAnsi="Arial"/>
          <w:spacing w:val="46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esclusivamente</w:t>
      </w:r>
      <w:r>
        <w:rPr>
          <w:rFonts w:cs="Arial" w:ascii="Arial" w:hAnsi="Arial"/>
          <w:spacing w:val="45"/>
          <w:sz w:val="20"/>
          <w:szCs w:val="20"/>
          <w:u w:val="single" w:color="000000"/>
          <w:lang w:val="it-IT"/>
        </w:rPr>
        <w:t xml:space="preserve"> </w:t>
      </w:r>
      <w:r>
        <w:rPr>
          <w:rFonts w:cs="Arial" w:ascii="Arial" w:hAnsi="Arial"/>
          <w:spacing w:val="-1"/>
          <w:sz w:val="20"/>
          <w:szCs w:val="20"/>
          <w:u w:val="single" w:color="000000"/>
          <w:lang w:val="it-IT"/>
        </w:rPr>
        <w:t>al</w:t>
      </w:r>
      <w:r>
        <w:rPr>
          <w:rFonts w:cs="Arial" w:ascii="Arial" w:hAnsi="Arial"/>
          <w:spacing w:val="40"/>
          <w:sz w:val="20"/>
          <w:szCs w:val="20"/>
          <w:lang w:val="it-IT"/>
        </w:rPr>
        <w:t xml:space="preserve"> </w:t>
      </w:r>
      <w:r>
        <w:rPr>
          <w:rFonts w:cs="Arial" w:ascii="Arial" w:hAnsi="Arial"/>
          <w:sz w:val="20"/>
          <w:szCs w:val="20"/>
          <w:u w:val="single" w:color="000000"/>
          <w:lang w:val="it-IT"/>
        </w:rPr>
        <w:t>medico).</w:t>
      </w:r>
      <w:r>
        <w:br w:type="page"/>
      </w:r>
    </w:p>
    <w:p>
      <w:pPr>
        <w:pStyle w:val="Normal"/>
        <w:spacing w:before="0" w:after="0"/>
        <w:rPr>
          <w:rFonts w:ascii="Calibri" w:hAnsi="Calibri" w:eastAsia="Calibri" w:cs="Calibri"/>
          <w:b/>
          <w:bCs/>
          <w:sz w:val="18"/>
          <w:szCs w:val="18"/>
          <w:lang w:val="it-IT"/>
        </w:rPr>
      </w:pPr>
      <w:r>
        <w:rPr>
          <w:rFonts w:eastAsia="Calibri" w:cs="Calibri"/>
          <w:b/>
          <w:bCs/>
          <w:sz w:val="18"/>
          <w:szCs w:val="18"/>
          <w:lang w:val="it-IT"/>
        </w:rPr>
      </w:r>
    </w:p>
    <w:p>
      <w:pPr>
        <w:pStyle w:val="Normal"/>
        <w:spacing w:before="69" w:after="0"/>
        <w:jc w:val="center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ascii="Arial" w:hAnsi="Arial"/>
          <w:b/>
          <w:color w:val="F49D16"/>
          <w:spacing w:val="-1"/>
          <w:sz w:val="24"/>
          <w:lang w:val="it-IT"/>
        </w:rPr>
        <w:t>PREDISPOSIZIONE</w:t>
      </w:r>
      <w:r>
        <w:rPr>
          <w:rFonts w:ascii="Arial" w:hAnsi="Arial"/>
          <w:b/>
          <w:color w:val="F49D1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F49D16"/>
          <w:spacing w:val="-1"/>
          <w:sz w:val="24"/>
          <w:lang w:val="it-IT"/>
        </w:rPr>
        <w:t>GENETICA</w:t>
      </w:r>
      <w:r>
        <w:rPr>
          <w:rFonts w:ascii="Arial" w:hAnsi="Arial"/>
          <w:b/>
          <w:color w:val="F49D1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F49D16"/>
          <w:spacing w:val="-1"/>
          <w:sz w:val="24"/>
          <w:lang w:val="it-IT"/>
        </w:rPr>
        <w:t>ALL'AUMENTO</w:t>
      </w:r>
      <w:r>
        <w:rPr>
          <w:rFonts w:ascii="Arial" w:hAnsi="Arial"/>
          <w:b/>
          <w:color w:val="F49D1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F49D16"/>
          <w:spacing w:val="-1"/>
          <w:sz w:val="24"/>
          <w:lang w:val="it-IT"/>
        </w:rPr>
        <w:t>DI</w:t>
      </w:r>
      <w:r>
        <w:rPr>
          <w:rFonts w:ascii="Arial" w:hAnsi="Arial"/>
          <w:b/>
          <w:color w:val="F49D1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F49D16"/>
          <w:spacing w:val="-1"/>
          <w:sz w:val="24"/>
          <w:lang w:val="it-IT"/>
        </w:rPr>
        <w:t>PESO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salute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direttamente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correlata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alla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dieta</w:t>
      </w:r>
      <w:r>
        <w:rPr>
          <w:spacing w:val="31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alle</w:t>
      </w:r>
      <w:r>
        <w:rPr>
          <w:spacing w:val="33"/>
          <w:lang w:val="it-IT"/>
        </w:rPr>
        <w:t xml:space="preserve"> </w:t>
      </w:r>
      <w:r>
        <w:rPr>
          <w:spacing w:val="-1"/>
          <w:lang w:val="it-IT"/>
        </w:rPr>
        <w:t>nostre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abitudini</w:t>
      </w:r>
      <w:r>
        <w:rPr>
          <w:spacing w:val="32"/>
          <w:lang w:val="it-IT"/>
        </w:rPr>
        <w:t xml:space="preserve"> </w:t>
      </w:r>
      <w:r>
        <w:rPr>
          <w:spacing w:val="-2"/>
          <w:lang w:val="it-IT"/>
        </w:rPr>
        <w:t>alimentari.</w:t>
      </w:r>
      <w:r>
        <w:rPr>
          <w:spacing w:val="32"/>
          <w:lang w:val="it-IT"/>
        </w:rPr>
        <w:t xml:space="preserve"> </w:t>
      </w:r>
      <w:r>
        <w:rPr>
          <w:lang w:val="it-IT"/>
        </w:rPr>
        <w:t>Da</w:t>
      </w:r>
      <w:r>
        <w:rPr>
          <w:spacing w:val="32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31"/>
          <w:lang w:val="it-IT"/>
        </w:rPr>
        <w:t xml:space="preserve"> </w:t>
      </w:r>
      <w:r>
        <w:rPr>
          <w:spacing w:val="-1"/>
          <w:lang w:val="it-IT"/>
        </w:rPr>
        <w:t>lato,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0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52"/>
          <w:w w:val="99"/>
          <w:lang w:val="it-IT"/>
        </w:rPr>
        <w:t xml:space="preserve"> </w:t>
      </w:r>
      <w:r>
        <w:rPr>
          <w:spacing w:val="-1"/>
          <w:lang w:val="it-IT"/>
        </w:rPr>
        <w:t>caratteristico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apporto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calorico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eccessivo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traduce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aumento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peso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dall'altro,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un'alimentazione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42"/>
          <w:w w:val="99"/>
          <w:lang w:val="it-IT"/>
        </w:rPr>
        <w:t xml:space="preserve"> </w:t>
      </w:r>
      <w:r>
        <w:rPr>
          <w:spacing w:val="-2"/>
          <w:lang w:val="it-IT"/>
        </w:rPr>
        <w:t>equilibrata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diete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drastiche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hanno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giusto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effetto.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</w:t>
      </w:r>
      <w:r>
        <w:rPr>
          <w:rFonts w:ascii="Arial" w:hAnsi="Arial"/>
          <w:spacing w:val="-6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sezione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apprenderai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come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il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profilo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genetico</w:t>
      </w:r>
      <w:r>
        <w:rPr>
          <w:rFonts w:ascii="Arial" w:hAnsi="Arial"/>
          <w:spacing w:val="-7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influenza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lo</w:t>
      </w:r>
      <w:r>
        <w:rPr>
          <w:rFonts w:ascii="Arial" w:hAnsi="Arial"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sviluppo</w:t>
      </w:r>
      <w:r>
        <w:rPr>
          <w:rFonts w:ascii="Arial" w:hAnsi="Arial"/>
          <w:b/>
          <w:spacing w:val="-8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del</w:t>
      </w:r>
      <w:r>
        <w:rPr>
          <w:rFonts w:ascii="Arial" w:hAnsi="Arial"/>
          <w:b/>
          <w:spacing w:val="-6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sovrappeso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36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u w:val="single"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&lt;valpeso&gt;</w:t>
            </w:r>
            <w:bookmarkStart w:id="0" w:name="_Hlk83979477"/>
            <w:bookmarkEnd w:id="0"/>
          </w:p>
        </w:tc>
      </w:tr>
    </w:tbl>
    <w:p>
      <w:pPr>
        <w:pStyle w:val="Normal"/>
        <w:jc w:val="both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Normal"/>
        <w:spacing w:before="1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" w:name="_Hlk83979518"/>
            <w:bookmarkStart w:id="2" w:name="_Hlk83979518"/>
            <w:bookmarkEnd w:id="2"/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1"/>
        <w:spacing w:before="0" w:after="0"/>
        <w:jc w:val="center"/>
        <w:rPr>
          <w:b w:val="false"/>
          <w:bCs w:val="false"/>
          <w:lang w:val="it-IT"/>
        </w:rPr>
      </w:pPr>
      <w:r>
        <w:rPr>
          <w:color w:val="F49D16"/>
          <w:spacing w:val="-1"/>
          <w:lang w:val="it-IT"/>
        </w:rPr>
        <w:t>PREDISPOSIZIONE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GENETICA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AL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DIABETE</w:t>
      </w:r>
      <w:r>
        <w:rPr>
          <w:color w:val="F49D16"/>
          <w:lang w:val="it-IT"/>
        </w:rPr>
        <w:t xml:space="preserve"> </w:t>
      </w:r>
      <w:r>
        <w:rPr>
          <w:color w:val="F49D16"/>
          <w:spacing w:val="-1"/>
          <w:lang w:val="it-IT"/>
        </w:rPr>
        <w:t>DI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spacing w:val="-1"/>
          <w:lang w:val="it-IT"/>
        </w:rPr>
        <w:t>TIPO</w:t>
      </w:r>
      <w:r>
        <w:rPr>
          <w:color w:val="F49D16"/>
          <w:spacing w:val="1"/>
          <w:lang w:val="it-IT"/>
        </w:rPr>
        <w:t xml:space="preserve"> </w:t>
      </w:r>
      <w:r>
        <w:rPr>
          <w:color w:val="F49D16"/>
          <w:lang w:val="it-IT"/>
        </w:rPr>
        <w:t>2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  <w:lang w:val="it-IT"/>
        </w:rPr>
      </w:pPr>
      <w:r>
        <w:rPr>
          <w:rFonts w:eastAsia="Arial" w:cs="Arial" w:ascii="Arial" w:hAnsi="Arial"/>
          <w:b/>
          <w:bCs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2"/>
          <w:lang w:val="it-IT"/>
        </w:rPr>
        <w:t xml:space="preserve"> </w:t>
      </w:r>
      <w:r>
        <w:rPr>
          <w:lang w:val="it-IT"/>
        </w:rPr>
        <w:t>2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(T2D)</w:t>
      </w:r>
      <w:r>
        <w:rPr>
          <w:spacing w:val="2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forma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mellito 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comune;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secondo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stime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attendibili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colpirebbe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circa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90%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diabetici.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diabete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tipo</w:t>
      </w:r>
      <w:r>
        <w:rPr>
          <w:spacing w:val="17"/>
          <w:lang w:val="it-IT"/>
        </w:rPr>
        <w:t xml:space="preserve"> </w:t>
      </w:r>
      <w:r>
        <w:rPr>
          <w:lang w:val="it-IT"/>
        </w:rPr>
        <w:t>2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produce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quantità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insufficiente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insulina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34"/>
          <w:w w:val="99"/>
          <w:lang w:val="it-IT"/>
        </w:rPr>
        <w:t xml:space="preserve"> </w:t>
      </w:r>
      <w:r>
        <w:rPr>
          <w:spacing w:val="-1"/>
          <w:lang w:val="it-IT"/>
        </w:rPr>
        <w:t>poter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funzionare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correttamente</w:t>
      </w:r>
      <w:r>
        <w:rPr>
          <w:spacing w:val="7"/>
          <w:lang w:val="it-IT"/>
        </w:rPr>
        <w:t xml:space="preserve"> </w:t>
      </w:r>
      <w:r>
        <w:rPr>
          <w:lang w:val="it-IT"/>
        </w:rPr>
        <w:t>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verifica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resistenza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all'insulina,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descrive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fallimento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8"/>
          <w:lang w:val="it-IT"/>
        </w:rPr>
        <w:t xml:space="preserve"> </w:t>
      </w:r>
      <w:r>
        <w:rPr>
          <w:spacing w:val="-2"/>
          <w:lang w:val="it-IT"/>
        </w:rPr>
        <w:t>cellule</w:t>
      </w:r>
      <w:r>
        <w:rPr>
          <w:spacing w:val="76"/>
          <w:w w:val="99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corpo</w:t>
      </w:r>
      <w:r>
        <w:rPr>
          <w:spacing w:val="-4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reagire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l'insulina.</w:t>
      </w:r>
    </w:p>
    <w:p>
      <w:pPr>
        <w:pStyle w:val="Normal"/>
        <w:spacing w:before="9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Normal"/>
        <w:spacing w:lineRule="auto" w:line="288"/>
        <w:ind w:hanging="0" w:right="119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  <w:t>In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questa sezione apprenderai come il</w:t>
      </w:r>
      <w:r>
        <w:rPr>
          <w:rFonts w:ascii="Arial" w:hAnsi="Arial"/>
          <w:spacing w:val="-2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tuo profilo genetico influenza la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predisposizione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ad</w:t>
      </w:r>
      <w:r>
        <w:rPr>
          <w:rFonts w:ascii="Arial" w:hAnsi="Arial"/>
          <w:spacing w:val="-4"/>
          <w:sz w:val="20"/>
          <w:lang w:val="it-IT"/>
        </w:rPr>
        <w:t xml:space="preserve"> </w:t>
      </w:r>
      <w:r>
        <w:rPr>
          <w:rFonts w:ascii="Arial" w:hAnsi="Arial"/>
          <w:spacing w:val="-1"/>
          <w:sz w:val="20"/>
          <w:lang w:val="it-IT"/>
        </w:rPr>
        <w:t>un</w:t>
      </w:r>
      <w:r>
        <w:rPr>
          <w:rFonts w:ascii="Arial" w:hAnsi="Arial"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aumentato</w:t>
      </w:r>
      <w:r>
        <w:rPr>
          <w:rFonts w:ascii="Arial" w:hAnsi="Arial"/>
          <w:b/>
          <w:spacing w:val="-3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rischio</w:t>
      </w:r>
      <w:r>
        <w:rPr>
          <w:rFonts w:ascii="Arial" w:hAnsi="Arial"/>
          <w:b/>
          <w:spacing w:val="-4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di</w:t>
      </w:r>
      <w:r>
        <w:rPr>
          <w:rFonts w:ascii="Arial" w:hAnsi="Arial"/>
          <w:b/>
          <w:spacing w:val="49"/>
          <w:w w:val="99"/>
          <w:sz w:val="20"/>
          <w:lang w:val="it-IT"/>
        </w:rPr>
        <w:t xml:space="preserve"> </w:t>
      </w:r>
      <w:r>
        <w:rPr>
          <w:rFonts w:ascii="Arial" w:hAnsi="Arial"/>
          <w:b/>
          <w:spacing w:val="-1"/>
          <w:sz w:val="20"/>
          <w:lang w:val="it-IT"/>
        </w:rPr>
        <w:t>T2D</w:t>
      </w:r>
      <w:r>
        <w:rPr>
          <w:rFonts w:ascii="Arial" w:hAnsi="Arial"/>
          <w:spacing w:val="-1"/>
          <w:sz w:val="20"/>
          <w:lang w:val="it-IT"/>
        </w:rPr>
        <w:t>.</w:t>
      </w:r>
    </w:p>
    <w:p>
      <w:pPr>
        <w:pStyle w:val="Normal"/>
        <w:spacing w:lineRule="auto" w:line="288"/>
        <w:ind w:hanging="0" w:right="119"/>
        <w:jc w:val="both"/>
        <w:rPr>
          <w:rFonts w:ascii="Arial" w:hAnsi="Arial"/>
          <w:spacing w:val="-1"/>
          <w:sz w:val="20"/>
          <w:lang w:val="it-IT"/>
        </w:rPr>
      </w:pPr>
      <w:r>
        <w:rPr>
          <w:rFonts w:ascii="Arial" w:hAnsi="Arial"/>
          <w:spacing w:val="-1"/>
          <w:sz w:val="20"/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30"/>
        <w:gridCol w:w="8817"/>
      </w:tblGrid>
      <w:tr>
        <w:trPr>
          <w:trHeight w:val="327" w:hRule="atLeast"/>
        </w:trPr>
        <w:tc>
          <w:tcPr>
            <w:tcW w:w="1530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17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&lt;valt2d&gt;</w:t>
            </w:r>
            <w:bookmarkStart w:id="3" w:name="_Hlk83979565"/>
            <w:bookmarkEnd w:id="3"/>
          </w:p>
        </w:tc>
      </w:tr>
    </w:tbl>
    <w:p>
      <w:pPr>
        <w:pStyle w:val="Normal"/>
        <w:spacing w:lineRule="atLeast" w:line="200"/>
        <w:rPr>
          <w:rFonts w:ascii="Arial" w:hAnsi="Arial" w:eastAsia="Arial" w:cs="Arial"/>
          <w:sz w:val="20"/>
          <w:szCs w:val="20"/>
        </w:rPr>
      </w:pPr>
      <w:r>
        <w:rPr>
          <w:rFonts w:eastAsia="Arial" w:cs="Arial" w:ascii="Arial" w:hAnsi="Arial"/>
          <w:sz w:val="20"/>
          <w:szCs w:val="20"/>
        </w:rPr>
      </w:r>
    </w:p>
    <w:p>
      <w:pPr>
        <w:pStyle w:val="Normal"/>
        <w:spacing w:before="4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spacing w:before="10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34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21"/>
        <w:gridCol w:w="1975"/>
        <w:gridCol w:w="2100"/>
        <w:gridCol w:w="3851"/>
      </w:tblGrid>
      <w:tr>
        <w:trPr>
          <w:trHeight w:val="454" w:hRule="atLeast"/>
        </w:trPr>
        <w:tc>
          <w:tcPr>
            <w:tcW w:w="242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075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51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2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7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0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5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4" w:name="_Hlk83979627"/>
            <w:bookmarkStart w:id="5" w:name="_Hlk83979627"/>
            <w:bookmarkEnd w:id="5"/>
          </w:p>
        </w:tc>
      </w:tr>
    </w:tbl>
    <w:p>
      <w:pPr>
        <w:pStyle w:val="Normal"/>
        <w:spacing w:before="11" w:after="0"/>
        <w:rPr>
          <w:rFonts w:ascii="Arial" w:hAnsi="Arial" w:eastAsia="Arial" w:cs="Arial"/>
          <w:sz w:val="19"/>
          <w:szCs w:val="19"/>
        </w:rPr>
      </w:pPr>
      <w:r>
        <w:rPr>
          <w:rFonts w:eastAsia="Arial" w:cs="Arial" w:ascii="Arial" w:hAnsi="Arial"/>
          <w:sz w:val="19"/>
          <w:szCs w:val="19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spacing w:before="0" w:after="0"/>
        <w:jc w:val="center"/>
        <w:rPr>
          <w:b w:val="false"/>
          <w:bCs w:val="false"/>
        </w:rPr>
      </w:pPr>
      <w:r>
        <w:rPr>
          <w:color w:val="F49D16"/>
          <w:spacing w:val="-1"/>
        </w:rPr>
        <w:t>PREDISPOSIZIONE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GENETICA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ALLE</w:t>
      </w:r>
      <w:r>
        <w:rPr>
          <w:color w:val="F49D16"/>
          <w:spacing w:val="1"/>
        </w:rPr>
        <w:t xml:space="preserve"> </w:t>
      </w:r>
      <w:r>
        <w:rPr>
          <w:color w:val="F49D16"/>
          <w:spacing w:val="-1"/>
        </w:rPr>
        <w:t>PATOLOGIE</w:t>
      </w:r>
      <w:r>
        <w:rPr>
          <w:color w:val="F49D16"/>
          <w:spacing w:val="2"/>
        </w:rPr>
        <w:t xml:space="preserve"> </w:t>
      </w:r>
      <w:r>
        <w:rPr>
          <w:color w:val="F49D16"/>
          <w:spacing w:val="-1"/>
        </w:rPr>
        <w:t>CARDIOVASCOLARI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20"/>
          <w:szCs w:val="20"/>
        </w:rPr>
      </w:pPr>
      <w:r>
        <w:rPr>
          <w:rFonts w:eastAsia="Arial" w:cs="Arial" w:ascii="Arial" w:hAnsi="Arial"/>
          <w:b/>
          <w:bCs/>
          <w:sz w:val="20"/>
          <w:szCs w:val="20"/>
        </w:rPr>
      </w:r>
    </w:p>
    <w:p>
      <w:pPr>
        <w:pStyle w:val="BodyText"/>
        <w:spacing w:lineRule="auto" w:line="271"/>
        <w:ind w:hanging="0" w:left="0" w:right="117"/>
        <w:jc w:val="both"/>
        <w:rPr>
          <w:lang w:val="it-IT"/>
        </w:rPr>
      </w:pPr>
      <w:r>
        <w:rPr>
          <w:spacing w:val="-1"/>
          <w:lang w:val="it-IT"/>
        </w:rPr>
        <w:t>Le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patologie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ancora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oggi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causa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comune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8"/>
          <w:lang w:val="it-IT"/>
        </w:rPr>
        <w:t xml:space="preserve"> </w:t>
      </w:r>
      <w:r>
        <w:rPr>
          <w:lang w:val="it-IT"/>
        </w:rPr>
        <w:t>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mortalità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nel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mondo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occidentale,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Italia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compresa.</w:t>
      </w:r>
      <w:r>
        <w:rPr>
          <w:spacing w:val="10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ormai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noto,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infatti,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componente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genetica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dell'individuo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allo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sviluppo</w:t>
      </w:r>
      <w:r>
        <w:rPr>
          <w:spacing w:val="54"/>
          <w:w w:val="9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3"/>
          <w:lang w:val="it-IT"/>
        </w:rPr>
        <w:t xml:space="preserve"> </w:t>
      </w:r>
      <w:r>
        <w:rPr>
          <w:spacing w:val="-2"/>
          <w:lang w:val="it-IT"/>
        </w:rPr>
        <w:t>patologie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cardiovascolari</w:t>
      </w:r>
      <w:r>
        <w:rPr>
          <w:spacing w:val="1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estremamente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importante.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2"/>
          <w:lang w:val="it-IT"/>
        </w:rPr>
        <w:t xml:space="preserve"> </w:t>
      </w:r>
      <w:r>
        <w:rPr>
          <w:spacing w:val="-1"/>
          <w:lang w:val="it-IT"/>
        </w:rPr>
        <w:t>apprenderai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50"/>
          <w:w w:val="99"/>
          <w:lang w:val="it-IT"/>
        </w:rPr>
        <w:t xml:space="preserve"> </w:t>
      </w:r>
      <w:r>
        <w:rPr>
          <w:spacing w:val="-1"/>
          <w:lang w:val="it-IT"/>
        </w:rPr>
        <w:t>influenza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aumentato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rischio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-8"/>
          <w:lang w:val="it-IT"/>
        </w:rPr>
        <w:t xml:space="preserve"> </w:t>
      </w:r>
      <w:r>
        <w:rPr>
          <w:b/>
          <w:color w:val="F49D16"/>
          <w:spacing w:val="-1"/>
          <w:lang w:val="it-IT"/>
        </w:rPr>
        <w:t>patologie</w:t>
      </w:r>
      <w:r>
        <w:rPr>
          <w:b/>
          <w:color w:val="F49D16"/>
          <w:spacing w:val="-8"/>
          <w:lang w:val="it-IT"/>
        </w:rPr>
        <w:t xml:space="preserve"> </w:t>
      </w:r>
      <w:r>
        <w:rPr>
          <w:b/>
          <w:color w:val="F49D16"/>
          <w:spacing w:val="-1"/>
          <w:lang w:val="it-IT"/>
        </w:rPr>
        <w:t>cardiovascolari</w:t>
      </w:r>
      <w:r>
        <w:rPr>
          <w:spacing w:val="-1"/>
          <w:lang w:val="it-IT"/>
        </w:rPr>
        <w:t>.</w:t>
      </w:r>
    </w:p>
    <w:p>
      <w:pPr>
        <w:pStyle w:val="Normal"/>
        <w:spacing w:before="10" w:after="0"/>
        <w:rPr>
          <w:rFonts w:ascii="Arial" w:hAnsi="Arial" w:eastAsia="Arial" w:cs="Arial"/>
          <w:sz w:val="16"/>
          <w:szCs w:val="16"/>
          <w:lang w:val="it-IT"/>
        </w:rPr>
      </w:pPr>
      <w:r>
        <w:rPr>
          <w:rFonts w:eastAsia="Arial" w:cs="Arial" w:ascii="Arial" w:hAnsi="Arial"/>
          <w:sz w:val="16"/>
          <w:szCs w:val="16"/>
          <w:lang w:val="it-IT"/>
        </w:rPr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26"/>
        <w:gridCol w:w="8823"/>
      </w:tblGrid>
      <w:tr>
        <w:trPr>
          <w:trHeight w:val="327" w:hRule="atLeast"/>
        </w:trPr>
        <w:tc>
          <w:tcPr>
            <w:tcW w:w="1526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RISCHIO</w:t>
            </w:r>
          </w:p>
        </w:tc>
        <w:tc>
          <w:tcPr>
            <w:tcW w:w="8823" w:type="dxa"/>
            <w:tcBorders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jc w:val="left"/>
              <w:rPr>
                <w:rFonts w:ascii="Arial" w:hAnsi="Arial" w:eastAsia="Arial" w:cs="Arial"/>
                <w:b/>
                <w:bCs/>
                <w:lang w:val="it-IT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it-IT" w:eastAsia="en-US" w:bidi="ar-SA"/>
              </w:rPr>
              <w:t>&lt;valcardio&gt;</w:t>
            </w:r>
            <w:bookmarkStart w:id="6" w:name="_Hlk83979719"/>
            <w:bookmarkEnd w:id="6"/>
          </w:p>
        </w:tc>
      </w:tr>
    </w:tbl>
    <w:p>
      <w:pPr>
        <w:pStyle w:val="Normal"/>
        <w:spacing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BodyText"/>
        <w:spacing w:before="74" w:after="0"/>
        <w:ind w:hanging="0" w:left="0"/>
        <w:rPr>
          <w:lang w:val="it-IT"/>
        </w:rPr>
      </w:pPr>
      <w:r>
        <w:rPr>
          <w:spacing w:val="-1"/>
          <w:lang w:val="it-IT"/>
        </w:rPr>
        <w:t>Di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l'elenco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geni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delle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varianti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genetiche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riscontrate:</w:t>
      </w:r>
    </w:p>
    <w:p>
      <w:pPr>
        <w:pStyle w:val="Normal"/>
        <w:rPr>
          <w:lang w:val="it-IT"/>
        </w:rPr>
      </w:pPr>
      <w:r>
        <w:rPr>
          <w:lang w:val="it-IT"/>
        </w:rPr>
      </w:r>
    </w:p>
    <w:tbl>
      <w:tblPr>
        <w:tblStyle w:val="Grigliatabella"/>
        <w:tblW w:w="1053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6"/>
        <w:gridCol w:w="1981"/>
        <w:gridCol w:w="2255"/>
        <w:gridCol w:w="3877"/>
      </w:tblGrid>
      <w:tr>
        <w:trPr>
          <w:trHeight w:val="454" w:hRule="atLeast"/>
        </w:trPr>
        <w:tc>
          <w:tcPr>
            <w:tcW w:w="2416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236" w:type="dxa"/>
            <w:gridSpan w:val="2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877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GENOTIPO PAZIENTE</w:t>
            </w:r>
          </w:p>
        </w:tc>
      </w:tr>
      <w:tr>
        <w:trPr>
          <w:trHeight w:val="436" w:hRule="atLeast"/>
        </w:trPr>
        <w:tc>
          <w:tcPr>
            <w:tcW w:w="241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9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255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387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7" w:name="_Hlk83979744"/>
            <w:bookmarkStart w:id="8" w:name="_Hlk83979744"/>
            <w:bookmarkEnd w:id="8"/>
          </w:p>
        </w:tc>
      </w:tr>
    </w:tbl>
    <w:p>
      <w:pPr>
        <w:pStyle w:val="Normal"/>
        <w:spacing w:before="4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p>
      <w:pPr>
        <w:pStyle w:val="Normal"/>
        <w:spacing w:before="4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</w:p>
    <w:tbl>
      <w:tblPr>
        <w:tblStyle w:val="Grigliatabella"/>
        <w:tblW w:w="10528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21"/>
        <w:gridCol w:w="2317"/>
        <w:gridCol w:w="1626"/>
        <w:gridCol w:w="2353"/>
        <w:gridCol w:w="2611"/>
      </w:tblGrid>
      <w:tr>
        <w:trPr>
          <w:trHeight w:val="454" w:hRule="atLeast"/>
        </w:trPr>
        <w:tc>
          <w:tcPr>
            <w:tcW w:w="1621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17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59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21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1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2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61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4" w:after="0"/>
        <w:rPr>
          <w:rFonts w:ascii="Arial" w:hAnsi="Arial" w:eastAsia="Arial" w:cs="Arial"/>
          <w:sz w:val="18"/>
          <w:szCs w:val="18"/>
        </w:rPr>
      </w:pPr>
      <w:r>
        <w:rPr>
          <w:rFonts w:eastAsia="Arial" w:cs="Arial" w:ascii="Arial" w:hAnsi="Arial"/>
          <w:sz w:val="18"/>
          <w:szCs w:val="18"/>
        </w:rPr>
      </w:r>
      <w:r>
        <w:br w:type="page"/>
      </w:r>
    </w:p>
    <w:p>
      <w:pPr>
        <w:pStyle w:val="Heading1"/>
        <w:spacing w:before="0" w:after="0"/>
        <w:jc w:val="center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Heading1"/>
        <w:spacing w:before="0" w:after="0"/>
        <w:jc w:val="center"/>
        <w:rPr>
          <w:b w:val="false"/>
          <w:bCs w:val="false"/>
        </w:rPr>
      </w:pPr>
      <w:r>
        <w:rPr>
          <w:color w:val="92D050"/>
          <w:spacing w:val="-1"/>
        </w:rPr>
        <w:t>PREDISPOSIZIONE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GENETICA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ALLE</w:t>
      </w:r>
      <w:r>
        <w:rPr>
          <w:color w:val="92D050"/>
          <w:spacing w:val="1"/>
        </w:rPr>
        <w:t xml:space="preserve"> </w:t>
      </w:r>
      <w:r>
        <w:rPr>
          <w:color w:val="92D050"/>
          <w:spacing w:val="-1"/>
        </w:rPr>
        <w:t>INTOLLERANZE</w:t>
      </w:r>
    </w:p>
    <w:p>
      <w:pPr>
        <w:pStyle w:val="Normal"/>
        <w:spacing w:before="4" w:after="0"/>
        <w:rPr>
          <w:rFonts w:ascii="Arial" w:hAnsi="Arial" w:eastAsia="Arial" w:cs="Arial"/>
          <w:b/>
          <w:bCs/>
          <w:sz w:val="25"/>
          <w:szCs w:val="25"/>
        </w:rPr>
      </w:pPr>
      <w:r>
        <w:rPr>
          <w:rFonts w:eastAsia="Arial" w:cs="Arial" w:ascii="Arial" w:hAnsi="Arial"/>
          <w:b/>
          <w:bCs/>
          <w:sz w:val="25"/>
          <w:szCs w:val="25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corpo,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l'aiuto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enzimi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specifici,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metabolizza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glutine,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caffeina,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l'alcol,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4"/>
          <w:lang w:val="it-IT"/>
        </w:rPr>
        <w:t xml:space="preserve"> </w:t>
      </w:r>
      <w:r>
        <w:rPr>
          <w:lang w:val="it-IT"/>
        </w:rPr>
        <w:t>i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solfiti,</w:t>
      </w:r>
      <w:r>
        <w:rPr>
          <w:spacing w:val="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4"/>
          <w:lang w:val="it-IT"/>
        </w:rPr>
        <w:t xml:space="preserve"> </w:t>
      </w:r>
      <w:r>
        <w:rPr>
          <w:spacing w:val="-2"/>
          <w:lang w:val="it-IT"/>
        </w:rPr>
        <w:t>nichel</w:t>
      </w:r>
      <w:r>
        <w:rPr>
          <w:spacing w:val="45"/>
          <w:w w:val="99"/>
          <w:lang w:val="it-IT"/>
        </w:rPr>
        <w:t xml:space="preserve"> </w:t>
      </w:r>
      <w:r>
        <w:rPr>
          <w:spacing w:val="-1"/>
          <w:lang w:val="it-IT"/>
        </w:rPr>
        <w:t>ecc.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dopo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consumo.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Ciò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consente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18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utilizzati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nutrienti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impedisce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16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59"/>
          <w:w w:val="99"/>
          <w:lang w:val="it-IT"/>
        </w:rPr>
        <w:t xml:space="preserve"> </w:t>
      </w:r>
      <w:r>
        <w:rPr>
          <w:spacing w:val="-1"/>
          <w:lang w:val="it-IT"/>
        </w:rPr>
        <w:t>diventino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nocive.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certo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non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funziona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modo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ottimale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portare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problemi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salute.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8"/>
        <w:jc w:val="both"/>
        <w:rPr>
          <w:lang w:val="it-IT"/>
        </w:rPr>
      </w:pPr>
      <w:r>
        <w:rPr>
          <w:b/>
          <w:spacing w:val="-1"/>
          <w:lang w:val="it-IT"/>
        </w:rPr>
        <w:t>L'intolleranza</w:t>
      </w:r>
      <w:r>
        <w:rPr>
          <w:b/>
          <w:spacing w:val="10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11"/>
          <w:lang w:val="it-IT"/>
        </w:rPr>
        <w:t xml:space="preserve"> </w:t>
      </w:r>
      <w:r>
        <w:rPr>
          <w:b/>
          <w:lang w:val="it-IT"/>
        </w:rPr>
        <w:t>lattosio</w:t>
      </w:r>
      <w:r>
        <w:rPr>
          <w:b/>
          <w:spacing w:val="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uno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dei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fenomeni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noti,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dove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manca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lattasi,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enzima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responsabile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0"/>
          <w:w w:val="99"/>
          <w:lang w:val="it-IT"/>
        </w:rPr>
        <w:t xml:space="preserve"> </w:t>
      </w:r>
      <w:r>
        <w:rPr>
          <w:spacing w:val="-1"/>
          <w:lang w:val="it-IT"/>
        </w:rPr>
        <w:t>degradazione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lattosio,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zucchero</w:t>
      </w:r>
      <w:r>
        <w:rPr>
          <w:spacing w:val="27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28"/>
          <w:lang w:val="it-IT"/>
        </w:rPr>
        <w:t xml:space="preserve"> </w:t>
      </w:r>
      <w:r>
        <w:rPr>
          <w:spacing w:val="-1"/>
          <w:lang w:val="it-IT"/>
        </w:rPr>
        <w:t>latte.</w:t>
      </w:r>
      <w:r>
        <w:rPr>
          <w:spacing w:val="25"/>
          <w:lang w:val="it-IT"/>
        </w:rPr>
        <w:t xml:space="preserve"> </w:t>
      </w:r>
      <w:r>
        <w:rPr>
          <w:spacing w:val="-1"/>
          <w:lang w:val="it-IT"/>
        </w:rPr>
        <w:t>Altro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ben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noto</w:t>
      </w:r>
      <w:r>
        <w:rPr>
          <w:spacing w:val="24"/>
          <w:lang w:val="it-IT"/>
        </w:rPr>
        <w:t xml:space="preserve"> </w:t>
      </w:r>
      <w:r>
        <w:rPr>
          <w:spacing w:val="-1"/>
          <w:lang w:val="it-IT"/>
        </w:rPr>
        <w:t>fenomeno</w:t>
      </w:r>
      <w:r>
        <w:rPr>
          <w:spacing w:val="24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25"/>
          <w:lang w:val="it-IT"/>
        </w:rPr>
        <w:t xml:space="preserve"> </w:t>
      </w:r>
      <w:r>
        <w:rPr>
          <w:b/>
          <w:lang w:val="it-IT"/>
        </w:rPr>
        <w:t>l'intolleranza</w:t>
      </w:r>
      <w:r>
        <w:rPr>
          <w:b/>
          <w:spacing w:val="25"/>
          <w:lang w:val="it-IT"/>
        </w:rPr>
        <w:t xml:space="preserve"> </w:t>
      </w:r>
      <w:r>
        <w:rPr>
          <w:b/>
          <w:spacing w:val="-1"/>
          <w:lang w:val="it-IT"/>
        </w:rPr>
        <w:t>al</w:t>
      </w:r>
      <w:r>
        <w:rPr>
          <w:b/>
          <w:spacing w:val="24"/>
          <w:lang w:val="it-IT"/>
        </w:rPr>
        <w:t xml:space="preserve"> </w:t>
      </w:r>
      <w:r>
        <w:rPr>
          <w:b/>
          <w:lang w:val="it-IT"/>
        </w:rPr>
        <w:t>glutine</w:t>
      </w:r>
      <w:r>
        <w:rPr>
          <w:lang w:val="it-IT"/>
        </w:rPr>
        <w:t>,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presente</w:t>
      </w:r>
      <w:r>
        <w:rPr>
          <w:spacing w:val="24"/>
          <w:lang w:val="it-IT"/>
        </w:rPr>
        <w:t xml:space="preserve"> </w:t>
      </w:r>
      <w:r>
        <w:rPr>
          <w:spacing w:val="-2"/>
          <w:lang w:val="it-IT"/>
        </w:rPr>
        <w:t>nei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soggetti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celiaci,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nei</w:t>
      </w:r>
      <w:r>
        <w:rPr>
          <w:spacing w:val="8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7"/>
          <w:lang w:val="it-IT"/>
        </w:rPr>
        <w:t xml:space="preserve"> </w:t>
      </w:r>
      <w:r>
        <w:rPr>
          <w:lang w:val="it-IT"/>
        </w:rPr>
        <w:t>a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seguito</w:t>
      </w:r>
      <w:r>
        <w:rPr>
          <w:spacing w:val="7"/>
          <w:lang w:val="it-IT"/>
        </w:rPr>
        <w:t xml:space="preserve"> </w:t>
      </w:r>
      <w:r>
        <w:rPr>
          <w:spacing w:val="-1"/>
          <w:lang w:val="it-IT"/>
        </w:rPr>
        <w:t>dell'ingestione</w:t>
      </w:r>
      <w:r>
        <w:rPr>
          <w:spacing w:val="4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glutine</w:t>
      </w:r>
      <w:r>
        <w:rPr>
          <w:spacing w:val="5"/>
          <w:lang w:val="it-IT"/>
        </w:rPr>
        <w:t xml:space="preserve"> </w:t>
      </w:r>
      <w:r>
        <w:rPr>
          <w:lang w:val="it-IT"/>
        </w:rPr>
        <w:t>si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scatena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7"/>
          <w:lang w:val="it-IT"/>
        </w:rPr>
        <w:t xml:space="preserve"> </w:t>
      </w:r>
      <w:r>
        <w:rPr>
          <w:spacing w:val="-2"/>
          <w:lang w:val="it-IT"/>
        </w:rPr>
        <w:t>immunitaria</w:t>
      </w:r>
      <w:r>
        <w:rPr>
          <w:spacing w:val="5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6"/>
          <w:lang w:val="it-IT"/>
        </w:rPr>
        <w:t xml:space="preserve"> </w:t>
      </w:r>
      <w:r>
        <w:rPr>
          <w:spacing w:val="-1"/>
          <w:lang w:val="it-IT"/>
        </w:rPr>
        <w:t>conseguente</w:t>
      </w:r>
      <w:r>
        <w:rPr>
          <w:spacing w:val="36"/>
          <w:w w:val="99"/>
          <w:lang w:val="it-IT"/>
        </w:rPr>
        <w:t xml:space="preserve"> </w:t>
      </w:r>
      <w:r>
        <w:rPr>
          <w:spacing w:val="-2"/>
          <w:lang w:val="it-IT"/>
        </w:rPr>
        <w:t>infiammazione.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Il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test</w:t>
      </w:r>
      <w:r>
        <w:rPr>
          <w:spacing w:val="23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valuta</w:t>
      </w:r>
      <w:r>
        <w:rPr>
          <w:spacing w:val="19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maggiore</w:t>
      </w:r>
      <w:r>
        <w:rPr>
          <w:spacing w:val="19"/>
          <w:lang w:val="it-IT"/>
        </w:rPr>
        <w:t xml:space="preserve"> </w:t>
      </w:r>
      <w:r>
        <w:rPr>
          <w:lang w:val="it-IT"/>
        </w:rPr>
        <w:t>o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minore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predisposizione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di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un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individuo</w:t>
      </w:r>
      <w:r>
        <w:rPr>
          <w:spacing w:val="20"/>
          <w:lang w:val="it-IT"/>
        </w:rPr>
        <w:t xml:space="preserve"> </w:t>
      </w:r>
      <w:r>
        <w:rPr>
          <w:lang w:val="it-IT"/>
        </w:rPr>
        <w:t>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sviluppare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19"/>
          <w:lang w:val="it-IT"/>
        </w:rPr>
        <w:t xml:space="preserve"> </w:t>
      </w:r>
      <w:r>
        <w:rPr>
          <w:spacing w:val="-2"/>
          <w:lang w:val="it-IT"/>
        </w:rPr>
        <w:t>malattia</w:t>
      </w:r>
      <w:r>
        <w:rPr>
          <w:spacing w:val="21"/>
          <w:lang w:val="it-IT"/>
        </w:rPr>
        <w:t xml:space="preserve"> </w:t>
      </w:r>
      <w:r>
        <w:rPr>
          <w:spacing w:val="-1"/>
          <w:lang w:val="it-IT"/>
        </w:rPr>
        <w:t>celiaca.</w:t>
      </w:r>
      <w:r>
        <w:rPr>
          <w:spacing w:val="20"/>
          <w:lang w:val="it-IT"/>
        </w:rPr>
        <w:t xml:space="preserve"> </w:t>
      </w:r>
      <w:r>
        <w:rPr>
          <w:spacing w:val="-1"/>
          <w:lang w:val="it-IT"/>
        </w:rPr>
        <w:t>Altri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importanti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processi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40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metabolismo</w:t>
      </w:r>
      <w:r>
        <w:rPr>
          <w:b/>
          <w:spacing w:val="41"/>
          <w:lang w:val="it-IT"/>
        </w:rPr>
        <w:t xml:space="preserve"> </w:t>
      </w:r>
      <w:r>
        <w:rPr>
          <w:b/>
          <w:spacing w:val="-1"/>
          <w:lang w:val="it-IT"/>
        </w:rPr>
        <w:t>dell'alcol</w:t>
      </w:r>
      <w:r>
        <w:rPr>
          <w:b/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6"/>
          <w:lang w:val="it-IT"/>
        </w:rPr>
        <w:t xml:space="preserve"> </w:t>
      </w:r>
      <w:r>
        <w:rPr>
          <w:b/>
          <w:spacing w:val="-1"/>
          <w:lang w:val="it-IT"/>
        </w:rPr>
        <w:t>caffeina</w:t>
      </w:r>
      <w:r>
        <w:rPr>
          <w:spacing w:val="-1"/>
          <w:lang w:val="it-IT"/>
        </w:rPr>
        <w:t>.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questa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sezione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scoprirai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tua</w:t>
      </w:r>
      <w:r>
        <w:rPr>
          <w:spacing w:val="46"/>
          <w:w w:val="99"/>
          <w:lang w:val="it-IT"/>
        </w:rPr>
        <w:t xml:space="preserve"> </w:t>
      </w:r>
      <w:r>
        <w:rPr>
          <w:spacing w:val="-1"/>
          <w:lang w:val="it-IT"/>
        </w:rPr>
        <w:t>risposta</w:t>
      </w:r>
      <w:r>
        <w:rPr>
          <w:spacing w:val="-6"/>
          <w:lang w:val="it-IT"/>
        </w:rPr>
        <w:t xml:space="preserve"> </w:t>
      </w:r>
      <w:r>
        <w:rPr>
          <w:lang w:val="it-IT"/>
        </w:rPr>
        <w:t>a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queste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sostanze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genetico,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verranno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dato</w:t>
      </w:r>
      <w:r>
        <w:rPr>
          <w:spacing w:val="-5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raccomandazioni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adatte.</w:t>
      </w:r>
    </w:p>
    <w:p>
      <w:pPr>
        <w:pStyle w:val="Normal"/>
        <w:spacing w:before="4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3"/>
        <w:ind w:hanging="0" w:left="0"/>
        <w:jc w:val="both"/>
        <w:rPr>
          <w:b w:val="false"/>
          <w:bCs w:val="false"/>
          <w:lang w:val="it-IT"/>
        </w:rPr>
      </w:pPr>
      <w:r>
        <w:rPr>
          <w:spacing w:val="-1"/>
          <w:lang w:val="it-IT"/>
        </w:rPr>
        <w:t>IL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spacing w:val="-8"/>
          <w:lang w:val="it-IT"/>
        </w:rPr>
        <w:t xml:space="preserve"> </w:t>
      </w:r>
      <w:bookmarkStart w:id="9" w:name="_Hlk83979830"/>
      <w:r>
        <w:rPr>
          <w:b w:val="false"/>
          <w:bCs w:val="false"/>
          <w:spacing w:val="-8"/>
          <w:lang w:val="it-IT"/>
        </w:rPr>
        <w:t>testo_intolleranze_lungo</w:t>
      </w:r>
      <w:bookmarkEnd w:id="9"/>
    </w:p>
    <w:p>
      <w:pPr>
        <w:pStyle w:val="Heading3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</w:p>
    <w:p>
      <w:pPr>
        <w:pStyle w:val="Heading3"/>
        <w:ind w:hanging="0" w:left="0"/>
        <w:jc w:val="both"/>
        <w:rPr>
          <w:b w:val="false"/>
          <w:bCs w:val="false"/>
          <w:lang w:val="it-IT"/>
        </w:rPr>
      </w:pPr>
      <w:r>
        <w:rPr>
          <w:b w:val="false"/>
          <w:bCs w:val="false"/>
          <w:lang w:val="it-IT"/>
        </w:rPr>
      </w:r>
      <w:bookmarkStart w:id="10" w:name="_Hlk83979809"/>
      <w:bookmarkStart w:id="11" w:name="_Hlk83979809"/>
      <w:bookmarkEnd w:id="11"/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842"/>
        <w:gridCol w:w="1329"/>
        <w:gridCol w:w="2130"/>
        <w:gridCol w:w="1681"/>
        <w:gridCol w:w="3368"/>
      </w:tblGrid>
      <w:tr>
        <w:trPr>
          <w:trHeight w:val="454" w:hRule="atLeast"/>
        </w:trPr>
        <w:tc>
          <w:tcPr>
            <w:tcW w:w="1842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514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368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84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2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3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681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368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TableGrid"/>
        <w:tblW w:w="10350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1789"/>
        <w:gridCol w:w="2050"/>
        <w:gridCol w:w="2160"/>
        <w:gridCol w:w="1913"/>
        <w:gridCol w:w="2438"/>
      </w:tblGrid>
      <w:tr>
        <w:trPr>
          <w:trHeight w:val="454" w:hRule="atLeast"/>
        </w:trPr>
        <w:tc>
          <w:tcPr>
            <w:tcW w:w="1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808080" w:themeFill="background1" w:themeFillShade="80" w:val="clea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8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0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sz w:val="22"/>
                <w:szCs w:val="22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sz w:val="22"/>
                <w:szCs w:val="22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9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BodyText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Style w:val="Grigliatabella"/>
        <w:tblW w:w="1035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90"/>
        <w:gridCol w:w="2427"/>
        <w:gridCol w:w="2356"/>
        <w:gridCol w:w="1340"/>
        <w:gridCol w:w="2437"/>
      </w:tblGrid>
      <w:tr>
        <w:trPr>
          <w:trHeight w:val="454" w:hRule="atLeast"/>
        </w:trPr>
        <w:tc>
          <w:tcPr>
            <w:tcW w:w="1790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6123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2437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179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42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VELOCE</w:t>
            </w:r>
          </w:p>
        </w:tc>
        <w:tc>
          <w:tcPr>
            <w:tcW w:w="235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rFonts w:ascii="Arial" w:hAnsi="Arial"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</w:pPr>
            <w:r>
              <w:rPr>
                <w:rFonts w:eastAsia="Arial" w:cs="" w:cstheme="minorBidi"/>
                <w:b/>
                <w:bCs/>
                <w:color w:val="auto"/>
                <w:kern w:val="0"/>
                <w:sz w:val="20"/>
                <w:szCs w:val="20"/>
                <w:lang w:val="it-IT" w:eastAsia="en-US" w:bidi="ar-SA"/>
              </w:rPr>
              <w:t>METABOLIZZATORE LENTO</w:t>
            </w:r>
          </w:p>
        </w:tc>
        <w:tc>
          <w:tcPr>
            <w:tcW w:w="134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2437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</w:tr>
    </w:tbl>
    <w:p>
      <w:pPr>
        <w:pStyle w:val="Normal"/>
        <w:spacing w:before="11" w:after="0"/>
        <w:ind w:hanging="0" w:left="0"/>
        <w:jc w:val="both"/>
        <w:rPr>
          <w:rFonts w:ascii="Arial" w:hAnsi="Arial" w:eastAsia="Arial" w:cs="Arial"/>
          <w:b w:val="false"/>
          <w:bCs w:val="false"/>
          <w:sz w:val="19"/>
          <w:szCs w:val="19"/>
          <w:lang w:val="it-IT"/>
        </w:rPr>
      </w:pPr>
      <w:r>
        <w:rPr>
          <w:rFonts w:eastAsia="Arial" w:cs="Arial" w:ascii="Arial" w:hAnsi="Arial"/>
          <w:b w:val="false"/>
          <w:bCs w:val="false"/>
          <w:sz w:val="19"/>
          <w:szCs w:val="19"/>
          <w:lang w:val="it-IT"/>
        </w:rPr>
      </w:r>
      <w:r>
        <w:br w:type="page"/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</w:r>
    </w:p>
    <w:p>
      <w:pPr>
        <w:pStyle w:val="Normal"/>
        <w:spacing w:lineRule="auto" w:line="276" w:before="0" w:after="0"/>
        <w:ind w:hanging="0" w:left="108" w:right="-30"/>
        <w:jc w:val="center"/>
        <w:rPr>
          <w:rFonts w:ascii="Arial" w:hAnsi="Arial"/>
          <w:b/>
          <w:color w:val="E32C56"/>
          <w:spacing w:val="-1"/>
          <w:sz w:val="24"/>
          <w:lang w:val="it-IT"/>
        </w:rPr>
      </w:pPr>
      <w:r>
        <w:rPr>
          <w:rFonts w:ascii="Arial" w:hAnsi="Arial"/>
          <w:b/>
          <w:color w:val="E32C56"/>
          <w:spacing w:val="-1"/>
          <w:sz w:val="24"/>
          <w:lang w:val="it-IT"/>
        </w:rPr>
        <w:t>INFLUENZA</w:t>
      </w:r>
      <w:r>
        <w:rPr>
          <w:rFonts w:ascii="Arial" w:hAnsi="Arial"/>
          <w:b/>
          <w:color w:val="E32C56"/>
          <w:spacing w:val="1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GENETICA NELL'ASSORBIMENTO </w:t>
        <w:br/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24"/>
          <w:sz w:val="24"/>
          <w:lang w:val="it-IT"/>
        </w:rPr>
        <w:t xml:space="preserve"> 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NEL METABOLISMO DI MINERALI </w:t>
      </w:r>
      <w:r>
        <w:rPr>
          <w:rFonts w:ascii="Arial" w:hAnsi="Arial"/>
          <w:b/>
          <w:color w:val="E32C56"/>
          <w:sz w:val="24"/>
          <w:lang w:val="it-IT"/>
        </w:rPr>
        <w:t>E</w:t>
      </w:r>
      <w:r>
        <w:rPr>
          <w:rFonts w:ascii="Arial" w:hAnsi="Arial"/>
          <w:b/>
          <w:color w:val="E32C56"/>
          <w:spacing w:val="-1"/>
          <w:sz w:val="24"/>
          <w:lang w:val="it-IT"/>
        </w:rPr>
        <w:t xml:space="preserve"> VITAMINE</w:t>
      </w:r>
      <w:bookmarkStart w:id="12" w:name="_Hlk83979922"/>
      <w:bookmarkEnd w:id="12"/>
    </w:p>
    <w:p>
      <w:pPr>
        <w:pStyle w:val="Normal"/>
        <w:spacing w:lineRule="auto" w:line="276" w:before="69" w:after="0"/>
        <w:ind w:hanging="142" w:left="2514" w:right="2432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BodyText"/>
        <w:spacing w:before="2" w:after="0"/>
        <w:ind w:hanging="0" w:left="0"/>
        <w:jc w:val="both"/>
        <w:rPr>
          <w:lang w:val="it-IT"/>
        </w:rPr>
      </w:pPr>
      <w:r>
        <w:rPr>
          <w:lang w:val="it-IT"/>
        </w:rPr>
        <w:t>I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micronutrienti,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-6"/>
          <w:lang w:val="it-IT"/>
        </w:rPr>
        <w:t xml:space="preserve"> </w:t>
      </w:r>
      <w:r>
        <w:rPr>
          <w:spacing w:val="-2"/>
          <w:lang w:val="it-IT"/>
        </w:rPr>
        <w:t>includono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vitamine</w:t>
      </w:r>
      <w:r>
        <w:rPr>
          <w:b/>
          <w:spacing w:val="-5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7"/>
          <w:lang w:val="it-IT"/>
        </w:rPr>
        <w:t xml:space="preserve"> </w:t>
      </w:r>
      <w:r>
        <w:rPr>
          <w:b/>
          <w:spacing w:val="-1"/>
          <w:lang w:val="it-IT"/>
        </w:rPr>
        <w:t>minerali</w:t>
      </w:r>
      <w:r>
        <w:rPr>
          <w:spacing w:val="-1"/>
          <w:lang w:val="it-IT"/>
        </w:rPr>
        <w:t>,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sono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vitali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la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nostra</w:t>
      </w:r>
      <w:r>
        <w:rPr>
          <w:spacing w:val="-5"/>
          <w:lang w:val="it-IT"/>
        </w:rPr>
        <w:t xml:space="preserve"> </w:t>
      </w:r>
      <w:r>
        <w:rPr>
          <w:spacing w:val="-2"/>
          <w:lang w:val="it-IT"/>
        </w:rPr>
        <w:t>salute.</w:t>
      </w:r>
    </w:p>
    <w:p>
      <w:pPr>
        <w:pStyle w:val="Normal"/>
        <w:spacing w:before="2" w:after="0"/>
        <w:rPr>
          <w:rFonts w:ascii="Arial" w:hAnsi="Arial" w:eastAsia="Arial" w:cs="Arial"/>
          <w:sz w:val="20"/>
          <w:szCs w:val="20"/>
          <w:lang w:val="it-IT"/>
        </w:rPr>
      </w:pPr>
      <w:r>
        <w:rPr>
          <w:rFonts w:eastAsia="Arial" w:cs="Arial" w:ascii="Arial" w:hAnsi="Arial"/>
          <w:sz w:val="20"/>
          <w:szCs w:val="20"/>
          <w:lang w:val="it-IT"/>
        </w:rPr>
      </w:r>
    </w:p>
    <w:p>
      <w:pPr>
        <w:pStyle w:val="BodyText"/>
        <w:spacing w:lineRule="auto" w:line="271"/>
        <w:ind w:hanging="0" w:left="0" w:right="99"/>
        <w:jc w:val="both"/>
        <w:rPr>
          <w:lang w:val="it-IT"/>
        </w:rPr>
      </w:pPr>
      <w:r>
        <w:rPr>
          <w:spacing w:val="-1"/>
          <w:lang w:val="it-IT"/>
        </w:rPr>
        <w:t>Sono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essenziali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per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funzionamento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organismo;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migliorano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benessere</w:t>
      </w:r>
      <w:r>
        <w:rPr>
          <w:spacing w:val="11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9"/>
          <w:lang w:val="it-IT"/>
        </w:rPr>
        <w:t xml:space="preserve"> </w:t>
      </w:r>
      <w:r>
        <w:rPr>
          <w:spacing w:val="-1"/>
          <w:lang w:val="it-IT"/>
        </w:rPr>
        <w:t>aiutano</w:t>
      </w:r>
      <w:r>
        <w:rPr>
          <w:spacing w:val="9"/>
          <w:lang w:val="it-IT"/>
        </w:rPr>
        <w:t xml:space="preserve"> </w:t>
      </w:r>
      <w:r>
        <w:rPr>
          <w:lang w:val="it-IT"/>
        </w:rPr>
        <w:t>a</w:t>
      </w:r>
      <w:r>
        <w:rPr>
          <w:spacing w:val="10"/>
          <w:lang w:val="it-IT"/>
        </w:rPr>
        <w:t xml:space="preserve"> </w:t>
      </w:r>
      <w:r>
        <w:rPr>
          <w:spacing w:val="-1"/>
          <w:lang w:val="it-IT"/>
        </w:rPr>
        <w:t>prevenire</w:t>
      </w:r>
      <w:r>
        <w:rPr>
          <w:spacing w:val="35"/>
          <w:w w:val="99"/>
          <w:lang w:val="it-IT"/>
        </w:rPr>
        <w:t xml:space="preserve"> </w:t>
      </w:r>
      <w:r>
        <w:rPr>
          <w:spacing w:val="-1"/>
          <w:lang w:val="it-IT"/>
        </w:rPr>
        <w:t>molte</w:t>
      </w:r>
      <w:r>
        <w:rPr>
          <w:spacing w:val="36"/>
          <w:lang w:val="it-IT"/>
        </w:rPr>
        <w:t xml:space="preserve"> </w:t>
      </w:r>
      <w:r>
        <w:rPr>
          <w:spacing w:val="-2"/>
          <w:lang w:val="it-IT"/>
        </w:rPr>
        <w:t>malattie.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9"/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fabbisogno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giornaliero</w:t>
      </w:r>
      <w:r>
        <w:rPr>
          <w:spacing w:val="35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determinato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da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numerosi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fattori</w:t>
      </w:r>
      <w:r>
        <w:rPr>
          <w:spacing w:val="3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tra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questi</w:t>
      </w:r>
      <w:r>
        <w:rPr>
          <w:spacing w:val="34"/>
          <w:lang w:val="it-IT"/>
        </w:rPr>
        <w:t xml:space="preserve"> </w:t>
      </w:r>
      <w:r>
        <w:rPr>
          <w:spacing w:val="-1"/>
          <w:lang w:val="it-IT"/>
        </w:rPr>
        <w:t>c'è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nostro</w:t>
      </w:r>
      <w:r>
        <w:rPr>
          <w:spacing w:val="42"/>
          <w:w w:val="99"/>
          <w:lang w:val="it-IT"/>
        </w:rPr>
        <w:t xml:space="preserve"> </w:t>
      </w:r>
      <w:r>
        <w:rPr>
          <w:spacing w:val="-1"/>
          <w:lang w:val="it-IT"/>
        </w:rPr>
        <w:t>corredo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genetico.</w:t>
      </w:r>
      <w:r>
        <w:rPr>
          <w:spacing w:val="15"/>
          <w:lang w:val="it-IT"/>
        </w:rPr>
        <w:t xml:space="preserve"> </w:t>
      </w:r>
      <w:r>
        <w:rPr>
          <w:spacing w:val="-1"/>
          <w:lang w:val="it-IT"/>
        </w:rPr>
        <w:t>Possiamo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ottenere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quasi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tutte</w:t>
      </w:r>
      <w:r>
        <w:rPr>
          <w:spacing w:val="17"/>
          <w:lang w:val="it-IT"/>
        </w:rPr>
        <w:t xml:space="preserve"> </w:t>
      </w:r>
      <w:r>
        <w:rPr>
          <w:spacing w:val="-1"/>
          <w:lang w:val="it-IT"/>
        </w:rPr>
        <w:t>le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vitamine</w:t>
      </w:r>
      <w:r>
        <w:rPr>
          <w:spacing w:val="16"/>
          <w:lang w:val="it-IT"/>
        </w:rPr>
        <w:t xml:space="preserve"> </w:t>
      </w:r>
      <w:r>
        <w:rPr>
          <w:lang w:val="it-IT"/>
        </w:rPr>
        <w:t>e</w:t>
      </w:r>
      <w:r>
        <w:rPr>
          <w:spacing w:val="15"/>
          <w:lang w:val="it-IT"/>
        </w:rPr>
        <w:t xml:space="preserve"> </w:t>
      </w:r>
      <w:r>
        <w:rPr>
          <w:lang w:val="it-IT"/>
        </w:rPr>
        <w:t>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minerali</w:t>
      </w:r>
      <w:r>
        <w:rPr>
          <w:spacing w:val="12"/>
          <w:lang w:val="it-IT"/>
        </w:rPr>
        <w:t xml:space="preserve"> </w:t>
      </w:r>
      <w:r>
        <w:rPr>
          <w:spacing w:val="-1"/>
          <w:lang w:val="it-IT"/>
        </w:rPr>
        <w:t>con</w:t>
      </w:r>
      <w:r>
        <w:rPr>
          <w:spacing w:val="14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cibo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normale.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Tuttavia,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13"/>
          <w:lang w:val="it-IT"/>
        </w:rPr>
        <w:t xml:space="preserve"> </w:t>
      </w:r>
      <w:r>
        <w:rPr>
          <w:spacing w:val="-1"/>
          <w:lang w:val="it-IT"/>
        </w:rPr>
        <w:t>può</w:t>
      </w:r>
      <w:r>
        <w:rPr>
          <w:spacing w:val="32"/>
          <w:w w:val="99"/>
          <w:lang w:val="it-IT"/>
        </w:rPr>
        <w:t xml:space="preserve"> </w:t>
      </w:r>
      <w:r>
        <w:rPr>
          <w:spacing w:val="-1"/>
          <w:lang w:val="it-IT"/>
        </w:rPr>
        <w:t>essere leggermente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più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difficile nel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caso in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cui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siamo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inclini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ad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una</w:t>
      </w:r>
      <w:r>
        <w:rPr>
          <w:lang w:val="it-IT"/>
        </w:rPr>
        <w:t xml:space="preserve"> </w:t>
      </w:r>
      <w:r>
        <w:rPr>
          <w:spacing w:val="-1"/>
          <w:lang w:val="it-IT"/>
        </w:rPr>
        <w:t>loro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mancanza.</w:t>
      </w:r>
      <w:r>
        <w:rPr>
          <w:spacing w:val="1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questo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capitolo,</w:t>
      </w:r>
      <w:r>
        <w:rPr>
          <w:spacing w:val="-3"/>
          <w:lang w:val="it-IT"/>
        </w:rPr>
        <w:t xml:space="preserve"> </w:t>
      </w:r>
      <w:r>
        <w:rPr>
          <w:spacing w:val="-1"/>
          <w:lang w:val="it-IT"/>
        </w:rPr>
        <w:t>ti</w:t>
      </w:r>
      <w:r>
        <w:rPr>
          <w:spacing w:val="-2"/>
          <w:lang w:val="it-IT"/>
        </w:rPr>
        <w:t xml:space="preserve"> </w:t>
      </w:r>
      <w:r>
        <w:rPr>
          <w:spacing w:val="-1"/>
          <w:lang w:val="it-IT"/>
        </w:rPr>
        <w:t>riveleremo</w:t>
      </w:r>
      <w:r>
        <w:rPr>
          <w:spacing w:val="36"/>
          <w:w w:val="99"/>
          <w:lang w:val="it-IT"/>
        </w:rPr>
        <w:t xml:space="preserve"> </w:t>
      </w:r>
      <w:r>
        <w:rPr>
          <w:spacing w:val="-1"/>
          <w:lang w:val="it-IT"/>
        </w:rPr>
        <w:t>quali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livelli</w:t>
      </w:r>
      <w:r>
        <w:rPr>
          <w:spacing w:val="37"/>
          <w:lang w:val="it-IT"/>
        </w:rPr>
        <w:t xml:space="preserve"> </w:t>
      </w:r>
      <w:r>
        <w:rPr>
          <w:spacing w:val="-1"/>
          <w:lang w:val="it-IT"/>
        </w:rPr>
        <w:t>della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lang w:val="it-IT"/>
        </w:rPr>
        <w:t>B9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(acido</w:t>
      </w:r>
      <w:r>
        <w:rPr>
          <w:spacing w:val="38"/>
          <w:lang w:val="it-IT"/>
        </w:rPr>
        <w:t xml:space="preserve"> </w:t>
      </w:r>
      <w:r>
        <w:rPr>
          <w:spacing w:val="-1"/>
          <w:lang w:val="it-IT"/>
        </w:rPr>
        <w:t>folico),</w:t>
      </w:r>
      <w:r>
        <w:rPr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8"/>
          <w:lang w:val="it-IT"/>
        </w:rPr>
        <w:t xml:space="preserve"> </w:t>
      </w:r>
      <w:r>
        <w:rPr>
          <w:b/>
          <w:lang w:val="it-IT"/>
        </w:rPr>
        <w:t>D</w:t>
      </w:r>
      <w:r>
        <w:rPr>
          <w:lang w:val="it-IT"/>
        </w:rPr>
        <w:t>,</w:t>
      </w:r>
      <w:r>
        <w:rPr>
          <w:spacing w:val="38"/>
          <w:lang w:val="it-IT"/>
        </w:rPr>
        <w:t xml:space="preserve"> </w:t>
      </w:r>
      <w:r>
        <w:rPr>
          <w:b/>
          <w:spacing w:val="-1"/>
          <w:lang w:val="it-IT"/>
        </w:rPr>
        <w:t>vitamina</w:t>
      </w:r>
      <w:r>
        <w:rPr>
          <w:b/>
          <w:spacing w:val="37"/>
          <w:lang w:val="it-IT"/>
        </w:rPr>
        <w:t xml:space="preserve"> </w:t>
      </w:r>
      <w:r>
        <w:rPr>
          <w:b/>
          <w:spacing w:val="-1"/>
          <w:lang w:val="it-IT"/>
        </w:rPr>
        <w:t>B12</w:t>
      </w:r>
      <w:r>
        <w:rPr>
          <w:b/>
          <w:spacing w:val="37"/>
          <w:lang w:val="it-IT"/>
        </w:rPr>
        <w:t xml:space="preserve"> </w:t>
      </w:r>
      <w:r>
        <w:rPr>
          <w:spacing w:val="-1"/>
          <w:lang w:val="it-IT"/>
        </w:rPr>
        <w:t>ed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anche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minerali,</w:t>
      </w:r>
      <w:r>
        <w:rPr>
          <w:spacing w:val="36"/>
          <w:lang w:val="it-IT"/>
        </w:rPr>
        <w:t xml:space="preserve"> </w:t>
      </w:r>
      <w:r>
        <w:rPr>
          <w:spacing w:val="-1"/>
          <w:lang w:val="it-IT"/>
        </w:rPr>
        <w:t>come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il</w:t>
      </w:r>
      <w:r>
        <w:rPr>
          <w:spacing w:val="35"/>
          <w:lang w:val="it-IT"/>
        </w:rPr>
        <w:t xml:space="preserve"> </w:t>
      </w:r>
      <w:r>
        <w:rPr>
          <w:b/>
          <w:spacing w:val="-1"/>
          <w:lang w:val="it-IT"/>
        </w:rPr>
        <w:t>ferro</w:t>
      </w:r>
      <w:r>
        <w:rPr>
          <w:spacing w:val="-1"/>
          <w:lang w:val="it-IT"/>
        </w:rPr>
        <w:t>,</w:t>
      </w:r>
      <w:r>
        <w:rPr>
          <w:spacing w:val="35"/>
          <w:lang w:val="it-IT"/>
        </w:rPr>
        <w:t xml:space="preserve"> </w:t>
      </w:r>
      <w:r>
        <w:rPr>
          <w:spacing w:val="-1"/>
          <w:lang w:val="it-IT"/>
        </w:rPr>
        <w:t>che</w:t>
      </w:r>
      <w:r>
        <w:rPr>
          <w:spacing w:val="44"/>
          <w:w w:val="99"/>
          <w:lang w:val="it-IT"/>
        </w:rPr>
        <w:t xml:space="preserve"> </w:t>
      </w:r>
      <w:r>
        <w:rPr>
          <w:spacing w:val="-1"/>
          <w:lang w:val="it-IT"/>
        </w:rPr>
        <w:t>potrebbero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essere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influenzati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dai</w:t>
      </w:r>
      <w:r>
        <w:rPr>
          <w:spacing w:val="-8"/>
          <w:lang w:val="it-IT"/>
        </w:rPr>
        <w:t xml:space="preserve"> </w:t>
      </w:r>
      <w:r>
        <w:rPr>
          <w:spacing w:val="-1"/>
          <w:lang w:val="it-IT"/>
        </w:rPr>
        <w:t>tuoi</w:t>
      </w:r>
      <w:r>
        <w:rPr>
          <w:spacing w:val="-8"/>
          <w:lang w:val="it-IT"/>
        </w:rPr>
        <w:t xml:space="preserve"> </w:t>
      </w:r>
      <w:r>
        <w:rPr>
          <w:spacing w:val="-2"/>
          <w:lang w:val="it-IT"/>
        </w:rPr>
        <w:t>geni.</w:t>
      </w:r>
    </w:p>
    <w:p>
      <w:pPr>
        <w:pStyle w:val="Normal"/>
        <w:spacing w:before="5" w:after="0"/>
        <w:rPr>
          <w:rFonts w:ascii="Arial" w:hAnsi="Arial" w:eastAsia="Arial" w:cs="Arial"/>
          <w:sz w:val="17"/>
          <w:szCs w:val="17"/>
          <w:lang w:val="it-IT"/>
        </w:rPr>
      </w:pPr>
      <w:r>
        <w:rPr>
          <w:rFonts w:eastAsia="Arial" w:cs="Arial" w:ascii="Arial" w:hAnsi="Arial"/>
          <w:sz w:val="17"/>
          <w:szCs w:val="17"/>
          <w:lang w:val="it-IT"/>
        </w:rPr>
      </w:r>
    </w:p>
    <w:p>
      <w:pPr>
        <w:pStyle w:val="Heading3"/>
        <w:ind w:hanging="0" w:left="0"/>
        <w:jc w:val="both"/>
        <w:rPr>
          <w:b w:val="false"/>
          <w:bCs w:val="false"/>
          <w:lang w:val="it-IT"/>
        </w:rPr>
      </w:pPr>
      <w:r>
        <w:rPr>
          <w:lang w:val="it-IT"/>
        </w:rPr>
        <w:t>IL</w:t>
      </w:r>
      <w:r>
        <w:rPr>
          <w:spacing w:val="-11"/>
          <w:lang w:val="it-IT"/>
        </w:rPr>
        <w:t xml:space="preserve"> </w:t>
      </w:r>
      <w:r>
        <w:rPr>
          <w:lang w:val="it-IT"/>
        </w:rPr>
        <w:t>TUO</w:t>
      </w:r>
      <w:r>
        <w:rPr>
          <w:spacing w:val="-11"/>
          <w:lang w:val="it-IT"/>
        </w:rPr>
        <w:t xml:space="preserve"> </w:t>
      </w:r>
      <w:r>
        <w:rPr>
          <w:spacing w:val="-1"/>
          <w:lang w:val="it-IT"/>
        </w:rPr>
        <w:t>RISULTATO:</w:t>
      </w:r>
      <w:r>
        <w:rPr>
          <w:color w:val="008080"/>
          <w:spacing w:val="-1"/>
          <w:lang w:val="it-IT"/>
        </w:rPr>
        <w:t xml:space="preserve"> </w:t>
      </w:r>
      <w:bookmarkStart w:id="13" w:name="_Hlk83979936"/>
      <w:r>
        <w:rPr>
          <w:rFonts w:cs="Arial"/>
          <w:b w:val="false"/>
          <w:bCs w:val="false"/>
          <w:lang w:val="it-IT"/>
        </w:rPr>
        <w:t>testo_assorbimento_lungo</w:t>
      </w:r>
      <w:bookmarkEnd w:id="13"/>
    </w:p>
    <w:p>
      <w:pPr>
        <w:pStyle w:val="Normal"/>
        <w:spacing w:lineRule="exact" w:line="281"/>
        <w:rPr>
          <w:rFonts w:ascii="Calibri" w:hAnsi="Calibri" w:eastAsia="Calibri" w:cs="Calibri"/>
          <w:sz w:val="24"/>
          <w:szCs w:val="24"/>
          <w:lang w:val="it-IT"/>
        </w:rPr>
      </w:pPr>
      <w:r>
        <w:rPr>
          <w:rFonts w:eastAsia="Calibri" w:cs="Calibri"/>
          <w:sz w:val="24"/>
          <w:szCs w:val="24"/>
          <w:lang w:val="it-IT"/>
        </w:rPr>
      </w:r>
    </w:p>
    <w:tbl>
      <w:tblPr>
        <w:tblStyle w:val="Grigliatabella"/>
        <w:tblW w:w="10402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419"/>
        <w:gridCol w:w="1364"/>
        <w:gridCol w:w="2176"/>
        <w:gridCol w:w="1350"/>
        <w:gridCol w:w="3093"/>
      </w:tblGrid>
      <w:tr>
        <w:trPr>
          <w:trHeight w:val="454" w:hRule="atLeast"/>
        </w:trPr>
        <w:tc>
          <w:tcPr>
            <w:tcW w:w="2419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4890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  <w:tc>
          <w:tcPr>
            <w:tcW w:w="3093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MICRONUTRIENTE</w:t>
            </w:r>
          </w:p>
        </w:tc>
      </w:tr>
      <w:tr>
        <w:trPr>
          <w:trHeight w:val="436" w:hRule="atLeast"/>
        </w:trPr>
        <w:tc>
          <w:tcPr>
            <w:tcW w:w="2419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36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17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1350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  <w:tc>
          <w:tcPr>
            <w:tcW w:w="309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  <w:bookmarkStart w:id="14" w:name="_Hlk83979968"/>
            <w:bookmarkStart w:id="15" w:name="_Hlk83979968"/>
            <w:bookmarkEnd w:id="15"/>
          </w:p>
        </w:tc>
      </w:tr>
    </w:tbl>
    <w:p>
      <w:pPr>
        <w:pStyle w:val="Normal"/>
        <w:spacing w:before="10" w:after="0"/>
        <w:rPr>
          <w:rFonts w:ascii="Arial" w:hAnsi="Arial" w:eastAsia="Arial" w:cs="Arial"/>
          <w:b/>
          <w:bCs/>
          <w:sz w:val="21"/>
          <w:szCs w:val="21"/>
        </w:rPr>
      </w:pPr>
      <w:r>
        <w:rPr>
          <w:rFonts w:eastAsia="Arial" w:cs="Arial" w:ascii="Arial" w:hAnsi="Arial"/>
          <w:b/>
          <w:bCs/>
          <w:sz w:val="21"/>
          <w:szCs w:val="21"/>
        </w:rPr>
      </w:r>
    </w:p>
    <w:p>
      <w:pPr>
        <w:pStyle w:val="Normal"/>
        <w:spacing w:before="10" w:after="0"/>
        <w:rPr>
          <w:rFonts w:ascii="Arial" w:hAnsi="Arial" w:eastAsia="Arial" w:cs="Arial"/>
          <w:b/>
          <w:bCs/>
          <w:sz w:val="21"/>
          <w:szCs w:val="21"/>
        </w:rPr>
      </w:pPr>
      <w:r>
        <w:rPr>
          <w:rFonts w:eastAsia="Arial" w:cs="Arial" w:ascii="Arial" w:hAnsi="Arial"/>
          <w:b/>
          <w:bCs/>
          <w:sz w:val="21"/>
          <w:szCs w:val="21"/>
        </w:rPr>
      </w:r>
    </w:p>
    <w:tbl>
      <w:tblPr>
        <w:tblStyle w:val="Grigliatabella"/>
        <w:tblW w:w="10342" w:type="dxa"/>
        <w:jc w:val="left"/>
        <w:tblInd w:w="11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17"/>
        <w:gridCol w:w="2326"/>
        <w:gridCol w:w="1614"/>
        <w:gridCol w:w="2353"/>
        <w:gridCol w:w="2432"/>
      </w:tblGrid>
      <w:tr>
        <w:trPr>
          <w:trHeight w:val="454" w:hRule="atLeast"/>
        </w:trPr>
        <w:tc>
          <w:tcPr>
            <w:tcW w:w="1617" w:type="dxa"/>
            <w:tcBorders>
              <w:right w:val="nil"/>
            </w:tcBorders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GENE</w:t>
            </w:r>
          </w:p>
        </w:tc>
        <w:tc>
          <w:tcPr>
            <w:tcW w:w="2326" w:type="dxa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  <w:t>SNP</w:t>
            </w:r>
          </w:p>
        </w:tc>
        <w:tc>
          <w:tcPr>
            <w:tcW w:w="6399" w:type="dxa"/>
            <w:gridSpan w:val="3"/>
            <w:tcBorders/>
            <w:shd w:color="auto" w:fill="808080" w:themeFill="background1" w:themeFillShade="80" w:val="clear"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color w:themeColor="background1" w:val="FFFFFF"/>
                <w:sz w:val="24"/>
                <w:szCs w:val="24"/>
                <w:lang w:val="it-IT"/>
              </w:rPr>
            </w:pPr>
            <w:r>
              <w:rPr>
                <w:rFonts w:cs=""/>
                <w:b/>
                <w:bCs/>
                <w:color w:themeColor="background1" w:val="FFFFFF"/>
                <w:kern w:val="0"/>
                <w:sz w:val="24"/>
                <w:szCs w:val="24"/>
                <w:lang w:val="it-IT" w:eastAsia="en-US" w:bidi="ar-SA"/>
              </w:rPr>
              <w:t>ALLELE</w:t>
            </w:r>
          </w:p>
        </w:tc>
      </w:tr>
      <w:tr>
        <w:trPr>
          <w:trHeight w:val="436" w:hRule="atLeast"/>
        </w:trPr>
        <w:tc>
          <w:tcPr>
            <w:tcW w:w="1617" w:type="dxa"/>
            <w:tcBorders>
              <w:right w:val="nil"/>
            </w:tcBorders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2326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1614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NORMALE</w:t>
            </w:r>
          </w:p>
        </w:tc>
        <w:tc>
          <w:tcPr>
            <w:tcW w:w="2353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PREDISPONENTE</w:t>
            </w:r>
          </w:p>
        </w:tc>
        <w:tc>
          <w:tcPr>
            <w:tcW w:w="2432" w:type="dxa"/>
            <w:tcBorders/>
          </w:tcPr>
          <w:p>
            <w:pPr>
              <w:pStyle w:val="BodyText"/>
              <w:widowControl w:val="false"/>
              <w:suppressAutoHyphens w:val="true"/>
              <w:spacing w:before="74" w:after="0"/>
              <w:ind w:hanging="0" w:left="0"/>
              <w:jc w:val="center"/>
              <w:rPr>
                <w:b/>
                <w:bCs/>
                <w:sz w:val="22"/>
                <w:szCs w:val="22"/>
                <w:lang w:val="it-IT"/>
              </w:rPr>
            </w:pPr>
            <w:r>
              <w:rPr>
                <w:rFonts w:cs=""/>
                <w:b/>
                <w:bCs/>
                <w:kern w:val="0"/>
                <w:sz w:val="22"/>
                <w:szCs w:val="22"/>
                <w:lang w:val="it-IT" w:eastAsia="en-US" w:bidi="ar-SA"/>
              </w:rPr>
              <w:t>PAZIENTE</w:t>
            </w:r>
          </w:p>
        </w:tc>
      </w:tr>
    </w:tbl>
    <w:p>
      <w:pPr>
        <w:pStyle w:val="Normal"/>
        <w:spacing w:before="10" w:after="0"/>
        <w:rPr>
          <w:rFonts w:ascii="Arial" w:hAnsi="Arial" w:eastAsia="Arial" w:cs="Arial"/>
          <w:b/>
          <w:bCs/>
          <w:sz w:val="21"/>
          <w:szCs w:val="21"/>
        </w:rPr>
      </w:pPr>
      <w:r>
        <w:rPr>
          <w:rFonts w:eastAsia="Arial" w:cs="Arial" w:ascii="Arial" w:hAnsi="Arial"/>
          <w:b/>
          <w:bCs/>
          <w:sz w:val="21"/>
          <w:szCs w:val="21"/>
        </w:rPr>
      </w:r>
      <w:r>
        <w:br w:type="page"/>
      </w:r>
    </w:p>
    <w:p>
      <w:pPr>
        <w:pStyle w:val="Normal"/>
        <w:spacing w:before="0" w:after="0"/>
        <w:ind w:hanging="0" w:left="108"/>
        <w:rPr>
          <w:rFonts w:ascii="Calibri" w:hAnsi="Calibri" w:eastAsia="Calibri" w:cs="Calibri"/>
          <w:sz w:val="28"/>
          <w:szCs w:val="28"/>
          <w:lang w:val="it-IT"/>
        </w:rPr>
      </w:pPr>
      <w:r>
        <w:rPr>
          <w:b/>
          <w:color w:val="7F7F7F"/>
          <w:spacing w:val="-1"/>
          <w:sz w:val="28"/>
          <w:u w:val="single" w:color="7F7F7F"/>
          <w:lang w:val="it-IT"/>
        </w:rPr>
        <w:t>INFORMAZIONI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ESSENZIALI </w:t>
      </w:r>
      <w:r>
        <w:rPr>
          <w:b/>
          <w:color w:val="7F7F7F"/>
          <w:sz w:val="28"/>
          <w:u w:val="single" w:color="7F7F7F"/>
          <w:lang w:val="it-IT"/>
        </w:rPr>
        <w:t>A</w:t>
      </w:r>
      <w:r>
        <w:rPr>
          <w:b/>
          <w:color w:val="7F7F7F"/>
          <w:spacing w:val="-1"/>
          <w:sz w:val="28"/>
          <w:u w:val="single" w:color="7F7F7F"/>
          <w:lang w:val="it-IT"/>
        </w:rPr>
        <w:t xml:space="preserve"> COMPLETAMENTO</w:t>
      </w:r>
      <w:r>
        <w:rPr>
          <w:b/>
          <w:color w:val="7F7F7F"/>
          <w:spacing w:val="-3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DEL</w:t>
      </w:r>
      <w:r>
        <w:rPr>
          <w:b/>
          <w:color w:val="7F7F7F"/>
          <w:spacing w:val="-2"/>
          <w:sz w:val="28"/>
          <w:u w:val="single" w:color="7F7F7F"/>
          <w:lang w:val="it-IT"/>
        </w:rPr>
        <w:t xml:space="preserve"> </w:t>
      </w:r>
      <w:r>
        <w:rPr>
          <w:b/>
          <w:color w:val="7F7F7F"/>
          <w:spacing w:val="-1"/>
          <w:sz w:val="28"/>
          <w:u w:val="single" w:color="7F7F7F"/>
          <w:lang w:val="it-IT"/>
        </w:rPr>
        <w:t>TEST</w:t>
      </w:r>
    </w:p>
    <w:p>
      <w:pPr>
        <w:pStyle w:val="Normal"/>
        <w:spacing w:before="4" w:after="0"/>
        <w:rPr>
          <w:rFonts w:ascii="Calibri" w:hAnsi="Calibri" w:eastAsia="Calibri" w:cs="Calibri"/>
          <w:b/>
          <w:bCs/>
          <w:sz w:val="13"/>
          <w:szCs w:val="13"/>
          <w:lang w:val="it-IT"/>
        </w:rPr>
      </w:pPr>
      <w:r>
        <w:rPr>
          <w:rFonts w:eastAsia="Calibri" w:cs="Calibri"/>
          <w:b/>
          <w:bCs/>
          <w:sz w:val="13"/>
          <w:szCs w:val="13"/>
          <w:lang w:val="it-IT"/>
        </w:rPr>
      </w:r>
    </w:p>
    <w:p>
      <w:pPr>
        <w:pStyle w:val="BodyText"/>
        <w:spacing w:lineRule="auto" w:line="276" w:before="74" w:after="0"/>
        <w:ind w:hanging="0" w:left="108" w:right="98"/>
        <w:jc w:val="both"/>
        <w:rPr>
          <w:lang w:val="it-IT"/>
        </w:rPr>
      </w:pPr>
      <w:r>
        <w:rPr>
          <w:spacing w:val="-1"/>
          <w:lang w:val="it-IT"/>
        </w:rPr>
        <w:t xml:space="preserve">Il test si concentra esclusivamente sulle variazioni genetiche la cui correlazione con l'insorgenza di patologie complesse (come obesità, diabete di tipo 2 e malattie cardiovascolari) è supportata da un'ampia letteratura scientifica. Questo test rappresenta un utile strumento per il tuo benessere, ma </w:t>
      </w:r>
      <w:r>
        <w:rPr>
          <w:b/>
          <w:bCs/>
          <w:spacing w:val="-1"/>
          <w:lang w:val="it-IT"/>
        </w:rPr>
        <w:t>non costituisce una diagnosi clinica e non sostituisce il parere del medico</w:t>
      </w:r>
      <w:r>
        <w:rPr>
          <w:spacing w:val="-1"/>
          <w:lang w:val="it-IT"/>
        </w:rPr>
        <w:t xml:space="preserve">. I risultati devono essere valutati ed approvati alla luce della storia anamnestica personale su </w:t>
      </w:r>
      <w:r>
        <w:rPr>
          <w:b/>
          <w:bCs/>
          <w:spacing w:val="-1"/>
          <w:lang w:val="it-IT"/>
        </w:rPr>
        <w:t>verifica del medico curante</w:t>
      </w:r>
      <w:r>
        <w:rPr>
          <w:spacing w:val="-1"/>
          <w:lang w:val="it-IT"/>
        </w:rPr>
        <w:t>.</w:t>
      </w:r>
    </w:p>
    <w:p>
      <w:pPr>
        <w:pStyle w:val="Normal"/>
        <w:spacing w:before="5" w:after="0"/>
        <w:rPr>
          <w:rFonts w:ascii="Arial" w:hAnsi="Arial" w:eastAsia="Arial" w:cs="Arial"/>
          <w:sz w:val="24"/>
          <w:szCs w:val="24"/>
          <w:lang w:val="it-IT"/>
        </w:rPr>
      </w:pPr>
      <w:r>
        <w:rPr>
          <w:rFonts w:eastAsia="Arial" w:cs="Arial" w:ascii="Arial" w:hAnsi="Arial"/>
          <w:sz w:val="24"/>
          <w:szCs w:val="24"/>
          <w:lang w:val="it-IT"/>
        </w:rPr>
      </w:r>
    </w:p>
    <w:p>
      <w:pPr>
        <w:pStyle w:val="BodyText"/>
        <w:jc w:val="both"/>
        <w:rPr>
          <w:lang w:val="it-IT"/>
        </w:rPr>
      </w:pPr>
      <w:r>
        <w:rPr>
          <w:spacing w:val="-1"/>
          <w:lang w:val="it-IT"/>
        </w:rPr>
        <w:t>N.B.L'elenco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degli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alimenti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riportati</w:t>
      </w:r>
      <w:r>
        <w:rPr>
          <w:spacing w:val="-9"/>
          <w:lang w:val="it-IT"/>
        </w:rPr>
        <w:t xml:space="preserve"> </w:t>
      </w:r>
      <w:r>
        <w:rPr>
          <w:lang w:val="it-IT"/>
        </w:rPr>
        <w:t>è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redatto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base</w:t>
      </w:r>
      <w:r>
        <w:rPr>
          <w:spacing w:val="-7"/>
          <w:lang w:val="it-IT"/>
        </w:rPr>
        <w:t xml:space="preserve"> </w:t>
      </w:r>
      <w:r>
        <w:rPr>
          <w:spacing w:val="-1"/>
          <w:lang w:val="it-IT"/>
        </w:rPr>
        <w:t>al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tuo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profilo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genetico</w:t>
      </w:r>
      <w:r>
        <w:rPr>
          <w:spacing w:val="-7"/>
          <w:lang w:val="it-IT"/>
        </w:rPr>
        <w:t xml:space="preserve"> </w:t>
      </w:r>
      <w:r>
        <w:rPr>
          <w:lang w:val="it-IT"/>
        </w:rPr>
        <w:t>e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agli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errori</w:t>
      </w:r>
      <w:r>
        <w:rPr>
          <w:spacing w:val="-10"/>
          <w:lang w:val="it-IT"/>
        </w:rPr>
        <w:t xml:space="preserve"> </w:t>
      </w:r>
      <w:r>
        <w:rPr>
          <w:spacing w:val="-1"/>
          <w:lang w:val="it-IT"/>
        </w:rPr>
        <w:t>del</w:t>
      </w:r>
      <w:r>
        <w:rPr>
          <w:spacing w:val="-9"/>
          <w:lang w:val="it-IT"/>
        </w:rPr>
        <w:t xml:space="preserve"> </w:t>
      </w:r>
      <w:r>
        <w:rPr>
          <w:spacing w:val="-1"/>
          <w:lang w:val="it-IT"/>
        </w:rPr>
        <w:t>metabolismo</w:t>
      </w:r>
      <w:r>
        <w:rPr>
          <w:spacing w:val="-6"/>
          <w:lang w:val="it-IT"/>
        </w:rPr>
        <w:t xml:space="preserve"> </w:t>
      </w:r>
      <w:r>
        <w:rPr>
          <w:spacing w:val="-1"/>
          <w:lang w:val="it-IT"/>
        </w:rPr>
        <w:t>individuati.</w:t>
      </w:r>
    </w:p>
    <w:p>
      <w:pPr>
        <w:pStyle w:val="Normal"/>
        <w:spacing w:before="5" w:after="0"/>
        <w:rPr>
          <w:rFonts w:ascii="Arial" w:hAnsi="Arial" w:eastAsia="Arial" w:cs="Arial"/>
          <w:sz w:val="19"/>
          <w:szCs w:val="19"/>
          <w:lang w:val="it-IT"/>
        </w:rPr>
      </w:pPr>
      <w:r>
        <w:rPr>
          <w:rFonts w:eastAsia="Arial" w:cs="Arial" w:ascii="Arial" w:hAnsi="Arial"/>
          <w:sz w:val="19"/>
          <w:szCs w:val="19"/>
          <w:lang w:val="it-IT"/>
        </w:rPr>
      </w:r>
    </w:p>
    <w:p>
      <w:pPr>
        <w:pStyle w:val="Heading3"/>
        <w:jc w:val="both"/>
        <w:rPr>
          <w:b w:val="false"/>
          <w:bCs w:val="false"/>
          <w:lang w:val="it-IT"/>
        </w:rPr>
      </w:pPr>
      <w:r>
        <w:rPr>
          <w:spacing w:val="-1"/>
          <w:u w:val="single" w:color="000000"/>
          <w:lang w:val="it-IT"/>
        </w:rPr>
        <w:t>Il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test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effettuato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prende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considerazione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intolleranze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ma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non</w:t>
      </w:r>
      <w:r>
        <w:rPr>
          <w:spacing w:val="-6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le</w:t>
      </w:r>
      <w:r>
        <w:rPr>
          <w:spacing w:val="-7"/>
          <w:u w:val="single" w:color="000000"/>
          <w:lang w:val="it-IT"/>
        </w:rPr>
        <w:t xml:space="preserve"> </w:t>
      </w:r>
      <w:r>
        <w:rPr>
          <w:spacing w:val="-1"/>
          <w:u w:val="single" w:color="000000"/>
          <w:lang w:val="it-IT"/>
        </w:rPr>
        <w:t>allergie.</w:t>
      </w:r>
    </w:p>
    <w:p>
      <w:pPr>
        <w:pStyle w:val="Normal"/>
        <w:spacing w:before="7" w:after="0"/>
        <w:rPr>
          <w:rFonts w:ascii="Arial" w:hAnsi="Arial" w:eastAsia="Arial" w:cs="Arial"/>
          <w:b/>
          <w:bCs/>
          <w:sz w:val="14"/>
          <w:szCs w:val="14"/>
          <w:lang w:val="it-IT"/>
        </w:rPr>
      </w:pPr>
      <w:r>
        <w:rPr>
          <w:rFonts w:eastAsia="Arial" w:cs="Arial" w:ascii="Arial" w:hAnsi="Arial"/>
          <w:b/>
          <w:bCs/>
          <w:sz w:val="14"/>
          <w:szCs w:val="14"/>
          <w:lang w:val="it-IT"/>
        </w:rPr>
      </w:r>
    </w:p>
    <w:p>
      <w:pPr>
        <w:pStyle w:val="Normal"/>
        <w:spacing w:before="80" w:after="0"/>
        <w:ind w:hanging="0" w:left="108"/>
        <w:rPr>
          <w:sz w:val="16"/>
          <w:szCs w:val="16"/>
        </w:rPr>
      </w:pPr>
      <w:r>
        <w:rPr>
          <w:rFonts w:ascii="Arial" w:hAnsi="Arial"/>
          <w:b/>
          <w:i/>
          <w:spacing w:val="-1"/>
          <w:sz w:val="16"/>
          <w:szCs w:val="16"/>
          <w:lang w:val="it-IT"/>
        </w:rPr>
        <w:t>Bibliografia</w:t>
      </w:r>
    </w:p>
    <w:p>
      <w:pPr>
        <w:pStyle w:val="Normal"/>
        <w:spacing w:before="10" w:after="0"/>
        <w:rPr>
          <w:rFonts w:ascii="Arial" w:hAnsi="Arial" w:eastAsia="Arial" w:cs="Arial"/>
          <w:b/>
          <w:bCs/>
          <w:i/>
          <w:i/>
          <w:sz w:val="16"/>
          <w:szCs w:val="16"/>
          <w:lang w:val="it-IT"/>
        </w:rPr>
      </w:pPr>
      <w:r>
        <w:rPr>
          <w:rFonts w:eastAsia="Arial" w:cs="Arial" w:ascii="Arial" w:hAnsi="Arial"/>
          <w:b/>
          <w:bCs/>
          <w:i/>
          <w:sz w:val="16"/>
          <w:szCs w:val="16"/>
          <w:lang w:val="it-IT"/>
        </w:rPr>
      </w:r>
    </w:p>
    <w:p>
      <w:pPr>
        <w:pStyle w:val="Normal"/>
        <w:spacing w:lineRule="auto" w:line="240"/>
        <w:ind w:hanging="0" w:left="108" w:right="112"/>
        <w:rPr>
          <w:sz w:val="16"/>
          <w:szCs w:val="16"/>
        </w:rPr>
      </w:pPr>
      <w:r>
        <w:rPr>
          <w:rFonts w:eastAsia="Arial" w:cs="Arial" w:ascii="Arial" w:hAnsi="Arial"/>
          <w:spacing w:val="-1"/>
          <w:sz w:val="16"/>
          <w:szCs w:val="16"/>
          <w:lang w:val="en-NZ"/>
        </w:rPr>
        <w:t>Liù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CC,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 xml:space="preserve">Liu </w:t>
      </w:r>
      <w:r>
        <w:rPr>
          <w:rFonts w:eastAsia="Arial" w:cs="Arial" w:ascii="Arial" w:hAnsi="Arial"/>
          <w:sz w:val="16"/>
          <w:szCs w:val="16"/>
          <w:lang w:val="en-NZ"/>
        </w:rPr>
        <w:t>CC,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 xml:space="preserve"> Kanekiyo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T,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Xu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H,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 xml:space="preserve"> Bu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G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(February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  <w:lang w:val="en-NZ"/>
        </w:rPr>
        <w:t>2013).</w:t>
      </w:r>
      <w:r>
        <w:rPr>
          <w:rFonts w:eastAsia="Arial" w:cs="Arial" w:ascii="Arial" w:hAnsi="Arial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spacing w:val="14"/>
          <w:sz w:val="16"/>
          <w:szCs w:val="16"/>
          <w:lang w:val="en-NZ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Apolipoprotein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z w:val="16"/>
          <w:szCs w:val="16"/>
        </w:rPr>
        <w:t xml:space="preserve">E </w:t>
      </w:r>
      <w:r>
        <w:rPr>
          <w:rFonts w:eastAsia="Arial" w:cs="Arial" w:ascii="Arial" w:hAnsi="Arial"/>
          <w:i/>
          <w:spacing w:val="-1"/>
          <w:sz w:val="16"/>
          <w:szCs w:val="16"/>
        </w:rPr>
        <w:t>and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Alzheimer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disease: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risk,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mechanisms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and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therapy</w:t>
      </w:r>
      <w:r>
        <w:rPr>
          <w:rFonts w:eastAsia="Arial" w:cs="Arial" w:ascii="Arial" w:hAnsi="Arial"/>
          <w:i/>
          <w:spacing w:val="1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z w:val="16"/>
          <w:szCs w:val="16"/>
        </w:rPr>
        <w:t>.</w:t>
      </w:r>
      <w:r>
        <w:rPr>
          <w:rFonts w:eastAsia="Arial" w:cs="Arial" w:ascii="Arial" w:hAnsi="Arial"/>
          <w:i/>
          <w:spacing w:val="4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Nature</w:t>
      </w:r>
      <w:r>
        <w:rPr>
          <w:rFonts w:eastAsia="Arial" w:cs="Arial" w:ascii="Arial" w:hAnsi="Arial"/>
          <w:spacing w:val="94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Reviews.</w:t>
      </w:r>
      <w:r>
        <w:rPr>
          <w:rFonts w:eastAsia="Arial" w:cs="Arial" w:ascii="Arial" w:hAnsi="Arial"/>
          <w:spacing w:val="-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Neurology.9(2):</w:t>
      </w:r>
      <w:r>
        <w:rPr>
          <w:rFonts w:eastAsia="Arial" w:cs="Arial" w:ascii="Arial" w:hAnsi="Arial"/>
          <w:spacing w:val="-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106–18.</w:t>
      </w:r>
    </w:p>
    <w:p>
      <w:pPr>
        <w:pStyle w:val="Normal"/>
        <w:spacing w:lineRule="auto" w:line="240" w:before="3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68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Dana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Simona Chita,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Anca Tudor, Ruxandra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 xml:space="preserve">Christodorescu </w:t>
      </w:r>
      <w:r>
        <w:rPr>
          <w:rFonts w:ascii="Arial" w:hAnsi="Arial"/>
          <w:sz w:val="16"/>
          <w:szCs w:val="16"/>
        </w:rPr>
        <w:t>et</w:t>
      </w:r>
      <w:r>
        <w:rPr>
          <w:rFonts w:ascii="Arial" w:hAnsi="Arial"/>
          <w:spacing w:val="-1"/>
          <w:sz w:val="16"/>
          <w:szCs w:val="16"/>
        </w:rPr>
        <w:t xml:space="preserve"> al</w:t>
      </w:r>
      <w:r>
        <w:rPr>
          <w:rFonts w:ascii="Arial" w:hAnsi="Arial"/>
          <w:spacing w:val="4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MTHFR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Gene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Polymorphisms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Prevalence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Cardiovascular Risk Factors</w:t>
      </w:r>
      <w:r>
        <w:rPr>
          <w:rFonts w:ascii="Arial" w:hAnsi="Arial"/>
          <w:i/>
          <w:spacing w:val="88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Involved</w:t>
      </w:r>
      <w:r>
        <w:rPr>
          <w:rFonts w:ascii="Arial" w:hAnsi="Arial"/>
          <w:i/>
          <w:sz w:val="16"/>
          <w:szCs w:val="16"/>
        </w:rPr>
        <w:t xml:space="preserve"> in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Cardioembolic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Stroke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Type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Severity.</w:t>
      </w:r>
      <w:r>
        <w:rPr>
          <w:rFonts w:ascii="Arial" w:hAnsi="Arial"/>
          <w:i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Brain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Sci. 2020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Aug; 10(8): 476.</w:t>
      </w:r>
    </w:p>
    <w:p>
      <w:pPr>
        <w:pStyle w:val="Normal"/>
        <w:spacing w:lineRule="auto" w:line="240" w:before="7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257"/>
        <w:rPr>
          <w:sz w:val="16"/>
          <w:szCs w:val="16"/>
        </w:rPr>
      </w:pPr>
      <w:r>
        <w:rPr>
          <w:rFonts w:eastAsia="Arial" w:cs="Arial" w:ascii="Arial" w:hAnsi="Arial"/>
          <w:spacing w:val="-1"/>
          <w:sz w:val="16"/>
          <w:szCs w:val="16"/>
        </w:rPr>
        <w:t>A.Georgopoulos,</w:t>
      </w:r>
      <w:r>
        <w:rPr>
          <w:rFonts w:eastAsia="Arial" w:cs="Arial" w:ascii="Arial" w:hAnsi="Arial"/>
          <w:sz w:val="16"/>
          <w:szCs w:val="16"/>
        </w:rPr>
        <w:t xml:space="preserve"> H. </w:t>
      </w:r>
      <w:r>
        <w:rPr>
          <w:rFonts w:eastAsia="Arial" w:cs="Arial" w:ascii="Arial" w:hAnsi="Arial"/>
          <w:spacing w:val="-1"/>
          <w:sz w:val="16"/>
          <w:szCs w:val="16"/>
        </w:rPr>
        <w:t>Bloomfield,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D.</w:t>
      </w:r>
      <w:r>
        <w:rPr>
          <w:rFonts w:eastAsia="Arial" w:cs="Arial" w:ascii="Arial" w:hAnsi="Arial"/>
          <w:spacing w:val="2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Collins</w:t>
      </w:r>
      <w:r>
        <w:rPr>
          <w:rFonts w:eastAsia="Arial" w:cs="Arial" w:ascii="Arial" w:hAnsi="Arial"/>
          <w:sz w:val="16"/>
          <w:szCs w:val="16"/>
        </w:rPr>
        <w:t xml:space="preserve"> et </w:t>
      </w:r>
      <w:r>
        <w:rPr>
          <w:rFonts w:eastAsia="Arial" w:cs="Arial" w:ascii="Arial" w:hAnsi="Arial"/>
          <w:spacing w:val="-1"/>
          <w:sz w:val="16"/>
          <w:szCs w:val="16"/>
        </w:rPr>
        <w:t>al.,</w:t>
      </w:r>
      <w:r>
        <w:rPr>
          <w:rFonts w:eastAsia="Arial" w:cs="Arial" w:ascii="Arial" w:hAnsi="Arial"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“Codon</w:t>
      </w:r>
      <w:r>
        <w:rPr>
          <w:rFonts w:eastAsia="Arial" w:cs="Arial" w:ascii="Arial" w:hAnsi="Arial"/>
          <w:i/>
          <w:sz w:val="16"/>
          <w:szCs w:val="16"/>
        </w:rPr>
        <w:t xml:space="preserve"> 54 </w:t>
      </w:r>
      <w:r>
        <w:rPr>
          <w:rFonts w:eastAsia="Arial" w:cs="Arial" w:ascii="Arial" w:hAnsi="Arial"/>
          <w:i/>
          <w:spacing w:val="-1"/>
          <w:sz w:val="16"/>
          <w:szCs w:val="16"/>
        </w:rPr>
        <w:t>polymorphism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of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fatty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acid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binding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protein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(FABP)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z w:val="16"/>
          <w:szCs w:val="16"/>
        </w:rPr>
        <w:t xml:space="preserve">2 </w:t>
      </w:r>
      <w:r>
        <w:rPr>
          <w:rFonts w:eastAsia="Arial" w:cs="Arial" w:ascii="Arial" w:hAnsi="Arial"/>
          <w:i/>
          <w:spacing w:val="-1"/>
          <w:sz w:val="16"/>
          <w:szCs w:val="16"/>
        </w:rPr>
        <w:t>gene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associated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with</w:t>
      </w:r>
      <w:r>
        <w:rPr>
          <w:rFonts w:eastAsia="Arial" w:cs="Arial" w:ascii="Arial" w:hAnsi="Arial"/>
          <w:i/>
          <w:spacing w:val="99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increased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cardiovascular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risk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dyslipidemic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diabetic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participants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of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the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Veterans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Affairs</w:t>
      </w:r>
      <w:r>
        <w:rPr>
          <w:rFonts w:eastAsia="Arial" w:cs="Arial" w:ascii="Arial" w:hAnsi="Arial"/>
          <w:i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HDL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intervention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trial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i/>
          <w:spacing w:val="-1"/>
          <w:sz w:val="16"/>
          <w:szCs w:val="16"/>
        </w:rPr>
        <w:t>(VA-HIT),”</w:t>
      </w:r>
      <w:r>
        <w:rPr>
          <w:rFonts w:eastAsia="Arial" w:cs="Arial" w:ascii="Arial" w:hAnsi="Arial"/>
          <w:i/>
          <w:spacing w:val="1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Atherosclerosis,</w:t>
      </w:r>
      <w:r>
        <w:rPr>
          <w:rFonts w:eastAsia="Arial" w:cs="Arial" w:ascii="Arial" w:hAnsi="Arial"/>
          <w:spacing w:val="123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vol. 194,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no. 1,</w:t>
      </w:r>
      <w:r>
        <w:rPr>
          <w:rFonts w:eastAsia="Arial" w:cs="Arial" w:ascii="Arial" w:hAnsi="Arial"/>
          <w:sz w:val="16"/>
          <w:szCs w:val="16"/>
        </w:rPr>
        <w:t xml:space="preserve"> </w:t>
      </w:r>
      <w:r>
        <w:rPr>
          <w:rFonts w:eastAsia="Arial" w:cs="Arial" w:ascii="Arial" w:hAnsi="Arial"/>
          <w:spacing w:val="-1"/>
          <w:sz w:val="16"/>
          <w:szCs w:val="16"/>
        </w:rPr>
        <w:t>pp. 169–174, 2007.</w:t>
      </w:r>
    </w:p>
    <w:p>
      <w:pPr>
        <w:pStyle w:val="Normal"/>
        <w:spacing w:lineRule="auto" w:line="240" w:before="6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257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 xml:space="preserve">Chun-Jian Qiu </w:t>
      </w:r>
      <w:r>
        <w:rPr>
          <w:rFonts w:ascii="Arial" w:hAnsi="Arial"/>
          <w:sz w:val="16"/>
          <w:szCs w:val="16"/>
        </w:rPr>
        <w:t>,</w:t>
      </w:r>
      <w:r>
        <w:rPr>
          <w:rFonts w:ascii="Arial" w:hAnsi="Arial"/>
          <w:spacing w:val="-1"/>
          <w:sz w:val="16"/>
          <w:szCs w:val="16"/>
        </w:rPr>
        <w:t xml:space="preserve"> Xiao-Zheng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Ye, Xiao-Juan Yu, Xiao-Ren Peng, Tong-Huan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Li.</w:t>
      </w:r>
      <w:r>
        <w:rPr>
          <w:rFonts w:ascii="Arial" w:hAnsi="Arial"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Association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between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FABP2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Ala54Thr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polymorphisms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type</w:t>
      </w:r>
      <w:r>
        <w:rPr>
          <w:rFonts w:ascii="Arial" w:hAnsi="Arial"/>
          <w:i/>
          <w:spacing w:val="100"/>
          <w:sz w:val="16"/>
          <w:szCs w:val="16"/>
        </w:rPr>
        <w:t xml:space="preserve"> </w:t>
      </w:r>
      <w:r>
        <w:rPr>
          <w:rFonts w:ascii="Arial" w:hAnsi="Arial"/>
          <w:i/>
          <w:sz w:val="16"/>
          <w:szCs w:val="16"/>
        </w:rPr>
        <w:t>2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diabetes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mellitus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risk:</w:t>
      </w:r>
      <w:r>
        <w:rPr>
          <w:rFonts w:ascii="Arial" w:hAnsi="Arial"/>
          <w:i/>
          <w:sz w:val="16"/>
          <w:szCs w:val="16"/>
        </w:rPr>
        <w:t xml:space="preserve"> a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HuGE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Review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Meta-Analysis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J</w:t>
      </w:r>
      <w:r>
        <w:rPr>
          <w:rFonts w:ascii="Arial" w:hAnsi="Arial"/>
          <w:spacing w:val="-1"/>
          <w:sz w:val="16"/>
          <w:szCs w:val="16"/>
        </w:rPr>
        <w:t xml:space="preserve"> Cell Mol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Med. 2014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Dec;18(12):2530-5.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68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Dayana Rodrigues Farias,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Nadya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Helena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Alves-Santos,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Ilana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Eshriqui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et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al.</w:t>
      </w:r>
      <w:r>
        <w:rPr>
          <w:rFonts w:ascii="Arial" w:hAnsi="Arial"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Leptin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gene polymorphism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(rs7799039; G2548A)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is associated with</w:t>
      </w:r>
      <w:r>
        <w:rPr>
          <w:rFonts w:ascii="Arial" w:hAnsi="Arial"/>
          <w:i/>
          <w:spacing w:val="13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 xml:space="preserve">changes </w:t>
      </w:r>
      <w:r>
        <w:rPr>
          <w:rFonts w:ascii="Arial" w:hAnsi="Arial"/>
          <w:i/>
          <w:sz w:val="16"/>
          <w:szCs w:val="16"/>
        </w:rPr>
        <w:t xml:space="preserve">in </w:t>
      </w:r>
      <w:r>
        <w:rPr>
          <w:rFonts w:ascii="Arial" w:hAnsi="Arial"/>
          <w:i/>
          <w:spacing w:val="-1"/>
          <w:sz w:val="16"/>
          <w:szCs w:val="16"/>
        </w:rPr>
        <w:t>serum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lipid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concentrations during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pregnancy:</w:t>
      </w:r>
      <w:r>
        <w:rPr>
          <w:rFonts w:ascii="Arial" w:hAnsi="Arial"/>
          <w:i/>
          <w:sz w:val="16"/>
          <w:szCs w:val="16"/>
        </w:rPr>
        <w:t xml:space="preserve"> a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prospective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cohort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study.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Eur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z w:val="16"/>
          <w:szCs w:val="16"/>
        </w:rPr>
        <w:t>J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Nutr. 2020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Aug;59(5):1999-2009.</w:t>
      </w:r>
    </w:p>
    <w:p>
      <w:pPr>
        <w:pStyle w:val="Normal"/>
        <w:spacing w:lineRule="auto" w:line="240" w:before="5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68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Crider et al. (2011).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MTHFR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677C-&gt;T genotype is associated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with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folate and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homocysteine</w:t>
      </w:r>
      <w:r>
        <w:rPr>
          <w:rFonts w:ascii="Arial" w:hAnsi="Arial"/>
          <w:i/>
          <w:sz w:val="16"/>
          <w:szCs w:val="16"/>
        </w:rPr>
        <w:t xml:space="preserve"> concentrations</w:t>
      </w:r>
      <w:r>
        <w:rPr>
          <w:rFonts w:ascii="Arial" w:hAnsi="Arial"/>
          <w:i/>
          <w:spacing w:val="-1"/>
          <w:sz w:val="16"/>
          <w:szCs w:val="16"/>
        </w:rPr>
        <w:t xml:space="preserve"> in</w:t>
      </w:r>
      <w:r>
        <w:rPr>
          <w:rFonts w:ascii="Arial" w:hAnsi="Arial"/>
          <w:i/>
          <w:sz w:val="16"/>
          <w:szCs w:val="16"/>
        </w:rPr>
        <w:t xml:space="preserve"> a </w:t>
      </w:r>
      <w:r>
        <w:rPr>
          <w:rFonts w:ascii="Arial" w:hAnsi="Arial"/>
          <w:i/>
          <w:spacing w:val="-1"/>
          <w:sz w:val="16"/>
          <w:szCs w:val="16"/>
        </w:rPr>
        <w:t>large,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population-based, double-</w:t>
      </w:r>
      <w:r>
        <w:rPr>
          <w:rFonts w:ascii="Arial" w:hAnsi="Arial"/>
          <w:i/>
          <w:spacing w:val="60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blind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trial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of</w:t>
      </w:r>
      <w:r>
        <w:rPr>
          <w:rFonts w:ascii="Arial" w:hAnsi="Arial"/>
          <w:i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folic acid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supplementation.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 xml:space="preserve">Am </w:t>
      </w:r>
      <w:r>
        <w:rPr>
          <w:rFonts w:ascii="Arial" w:hAnsi="Arial"/>
          <w:sz w:val="16"/>
          <w:szCs w:val="16"/>
        </w:rPr>
        <w:t>J</w:t>
      </w:r>
      <w:r>
        <w:rPr>
          <w:rFonts w:ascii="Arial" w:hAnsi="Arial"/>
          <w:spacing w:val="-1"/>
          <w:sz w:val="16"/>
          <w:szCs w:val="16"/>
        </w:rPr>
        <w:t xml:space="preserve"> Clin Nutr. 93(6):1365-1372.</w:t>
      </w:r>
    </w:p>
    <w:p>
      <w:pPr>
        <w:pStyle w:val="Normal"/>
        <w:spacing w:lineRule="auto" w:line="240" w:before="6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68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Chibo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 xml:space="preserve">Liu </w:t>
      </w:r>
      <w:r>
        <w:rPr>
          <w:rFonts w:ascii="Arial" w:hAnsi="Arial"/>
          <w:sz w:val="16"/>
          <w:szCs w:val="16"/>
        </w:rPr>
        <w:t xml:space="preserve">, </w:t>
      </w:r>
      <w:r>
        <w:rPr>
          <w:rFonts w:ascii="Arial" w:hAnsi="Arial"/>
          <w:spacing w:val="-1"/>
          <w:sz w:val="16"/>
          <w:szCs w:val="16"/>
        </w:rPr>
        <w:t>Sihua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Mou,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Chunqin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 xml:space="preserve">Pan. </w:t>
      </w:r>
      <w:r>
        <w:rPr>
          <w:rFonts w:ascii="Arial" w:hAnsi="Arial"/>
          <w:i/>
          <w:spacing w:val="-1"/>
          <w:sz w:val="16"/>
          <w:szCs w:val="16"/>
        </w:rPr>
        <w:t>The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FTO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gene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rs9939609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polymorphism</w:t>
      </w:r>
      <w:r>
        <w:rPr>
          <w:rFonts w:ascii="Arial" w:hAnsi="Arial"/>
          <w:i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predicts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risk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of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cardiovascular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disease:</w:t>
      </w:r>
      <w:r>
        <w:rPr>
          <w:rFonts w:ascii="Arial" w:hAnsi="Arial"/>
          <w:i/>
          <w:sz w:val="16"/>
          <w:szCs w:val="16"/>
        </w:rPr>
        <w:t xml:space="preserve"> a </w:t>
      </w:r>
      <w:r>
        <w:rPr>
          <w:rFonts w:ascii="Arial" w:hAnsi="Arial"/>
          <w:i/>
          <w:spacing w:val="-1"/>
          <w:sz w:val="16"/>
          <w:szCs w:val="16"/>
        </w:rPr>
        <w:t>systematic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review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56"/>
          <w:sz w:val="16"/>
          <w:szCs w:val="16"/>
        </w:rPr>
        <w:t xml:space="preserve"> </w:t>
      </w:r>
      <w:r>
        <w:rPr>
          <w:rFonts w:ascii="Arial" w:hAnsi="Arial"/>
          <w:i/>
          <w:sz w:val="16"/>
          <w:szCs w:val="16"/>
        </w:rPr>
        <w:t>meta-analysis.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PLoS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One. 2013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Aug 19;8(8):e71901.</w:t>
      </w:r>
    </w:p>
    <w:p>
      <w:pPr>
        <w:pStyle w:val="Normal"/>
        <w:spacing w:lineRule="auto" w:line="24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257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Warodomwichit et al. (2009).</w:t>
      </w:r>
      <w:r>
        <w:rPr>
          <w:rFonts w:ascii="Arial" w:hAnsi="Arial"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ADIPOQ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polymorphisms,</w:t>
      </w:r>
      <w:r>
        <w:rPr>
          <w:rFonts w:ascii="Arial" w:hAnsi="Arial"/>
          <w:i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monounsaturated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fatty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acids,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obesity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risk:</w:t>
      </w:r>
      <w:r>
        <w:rPr>
          <w:rFonts w:ascii="Arial" w:hAnsi="Arial"/>
          <w:i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the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GOLDN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study.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Obesity 17(3): 510-</w:t>
      </w:r>
      <w:r>
        <w:rPr>
          <w:rFonts w:ascii="Arial" w:hAnsi="Arial"/>
          <w:spacing w:val="10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517</w:t>
      </w:r>
    </w:p>
    <w:p>
      <w:pPr>
        <w:pStyle w:val="Normal"/>
        <w:spacing w:lineRule="auto" w:line="240" w:before="2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596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 xml:space="preserve">Hivert </w:t>
      </w:r>
      <w:r>
        <w:rPr>
          <w:rFonts w:ascii="Arial" w:hAnsi="Arial"/>
          <w:sz w:val="16"/>
          <w:szCs w:val="16"/>
        </w:rPr>
        <w:t>et</w:t>
      </w:r>
      <w:r>
        <w:rPr>
          <w:rFonts w:ascii="Arial" w:hAnsi="Arial"/>
          <w:spacing w:val="-1"/>
          <w:sz w:val="16"/>
          <w:szCs w:val="16"/>
        </w:rPr>
        <w:t xml:space="preserve"> al.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(2008).</w:t>
      </w:r>
      <w:r>
        <w:rPr>
          <w:rFonts w:ascii="Arial" w:hAnsi="Arial"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Common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 xml:space="preserve">variants </w:t>
      </w:r>
      <w:r>
        <w:rPr>
          <w:rFonts w:ascii="Arial" w:hAnsi="Arial"/>
          <w:i/>
          <w:sz w:val="16"/>
          <w:szCs w:val="16"/>
        </w:rPr>
        <w:t xml:space="preserve">in </w:t>
      </w:r>
      <w:r>
        <w:rPr>
          <w:rFonts w:ascii="Arial" w:hAnsi="Arial"/>
          <w:i/>
          <w:spacing w:val="-1"/>
          <w:sz w:val="16"/>
          <w:szCs w:val="16"/>
        </w:rPr>
        <w:t>the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adiponectin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gene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(ADIPOQ)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associated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with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plasma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adiponectin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levels,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type</w:t>
      </w:r>
      <w:r>
        <w:rPr>
          <w:rFonts w:ascii="Arial" w:hAnsi="Arial"/>
          <w:i/>
          <w:sz w:val="16"/>
          <w:szCs w:val="16"/>
        </w:rPr>
        <w:t xml:space="preserve"> 2 </w:t>
      </w:r>
      <w:r>
        <w:rPr>
          <w:rFonts w:ascii="Arial" w:hAnsi="Arial"/>
          <w:i/>
          <w:spacing w:val="-1"/>
          <w:sz w:val="16"/>
          <w:szCs w:val="16"/>
        </w:rPr>
        <w:t>diabetes,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and</w:t>
      </w:r>
      <w:r>
        <w:rPr>
          <w:rFonts w:ascii="Arial" w:hAnsi="Arial"/>
          <w:i/>
          <w:spacing w:val="107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diabetes-related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quantitative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traits: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the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Framingham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Offspring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Study.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Diabetes</w:t>
      </w:r>
      <w:r>
        <w:rPr>
          <w:rFonts w:ascii="Arial" w:hAnsi="Arial"/>
          <w:spacing w:val="-5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57(12):</w:t>
      </w:r>
      <w:r>
        <w:rPr>
          <w:rFonts w:ascii="Arial" w:hAnsi="Arial"/>
          <w:spacing w:val="-4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3353-3359</w:t>
      </w:r>
    </w:p>
    <w:p>
      <w:pPr>
        <w:pStyle w:val="Normal"/>
        <w:spacing w:lineRule="auto" w:line="240"/>
        <w:ind w:hanging="0" w:left="108" w:right="596"/>
        <w:rPr>
          <w:rFonts w:ascii="Arial" w:hAnsi="Arial"/>
          <w:spacing w:val="-1"/>
        </w:rPr>
      </w:pPr>
      <w:r>
        <w:rPr>
          <w:rFonts w:ascii="Arial" w:hAnsi="Arial"/>
          <w:spacing w:val="-1"/>
        </w:rPr>
      </w:r>
    </w:p>
    <w:p>
      <w:pPr>
        <w:pStyle w:val="Normal"/>
        <w:spacing w:lineRule="auto" w:line="240" w:before="20" w:after="0"/>
        <w:ind w:hanging="0" w:left="108" w:right="620"/>
        <w:rPr>
          <w:sz w:val="16"/>
          <w:szCs w:val="16"/>
        </w:rPr>
      </w:pPr>
      <w:r>
        <w:rPr>
          <w:rFonts w:ascii="Arial" w:hAnsi="Arial"/>
          <w:color w:val="202020"/>
          <w:spacing w:val="-1"/>
          <w:sz w:val="16"/>
          <w:szCs w:val="16"/>
        </w:rPr>
        <w:t>Mahley RW.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Apolipoprotein </w:t>
      </w:r>
      <w:r>
        <w:rPr>
          <w:rFonts w:ascii="Arial" w:hAnsi="Arial"/>
          <w:i/>
          <w:color w:val="202020"/>
          <w:sz w:val="16"/>
          <w:szCs w:val="16"/>
        </w:rPr>
        <w:t>E: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 from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cardiovascular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disease </w:t>
      </w:r>
      <w:r>
        <w:rPr>
          <w:rFonts w:ascii="Arial" w:hAnsi="Arial"/>
          <w:i/>
          <w:color w:val="202020"/>
          <w:sz w:val="16"/>
          <w:szCs w:val="16"/>
        </w:rPr>
        <w:t>to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 neurodegenerative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disorders.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>J</w:t>
      </w:r>
      <w:r>
        <w:rPr>
          <w:rFonts w:ascii="Arial" w:hAnsi="Arial"/>
          <w:color w:val="202020"/>
          <w:spacing w:val="-1"/>
          <w:sz w:val="16"/>
          <w:szCs w:val="16"/>
        </w:rPr>
        <w:t xml:space="preserve"> Mol Med (Berl). 2016 Jul;94(7):739-46. </w:t>
      </w:r>
    </w:p>
    <w:p>
      <w:pPr>
        <w:pStyle w:val="Normal"/>
        <w:spacing w:lineRule="auto" w:line="240" w:before="20" w:after="0"/>
        <w:ind w:hanging="0" w:left="108" w:right="620"/>
        <w:rPr>
          <w:rFonts w:ascii="Arial" w:hAnsi="Arial"/>
          <w:color w:val="202020"/>
          <w:spacing w:val="-1"/>
        </w:rPr>
      </w:pPr>
      <w:r>
        <w:rPr>
          <w:rFonts w:ascii="Arial" w:hAnsi="Arial"/>
          <w:color w:val="202020"/>
          <w:spacing w:val="-1"/>
        </w:rPr>
      </w:r>
    </w:p>
    <w:p>
      <w:pPr>
        <w:pStyle w:val="Normal"/>
        <w:spacing w:lineRule="auto" w:line="240" w:before="20" w:after="0"/>
        <w:ind w:hanging="0" w:left="108" w:right="620"/>
        <w:rPr>
          <w:sz w:val="16"/>
          <w:szCs w:val="16"/>
        </w:rPr>
      </w:pPr>
      <w:r>
        <w:rPr>
          <w:rFonts w:ascii="Arial" w:hAnsi="Arial"/>
          <w:color w:val="202020"/>
          <w:spacing w:val="-1"/>
          <w:sz w:val="16"/>
          <w:szCs w:val="16"/>
        </w:rPr>
        <w:t>Iwai</w:t>
      </w:r>
      <w:r>
        <w:rPr>
          <w:rFonts w:ascii="Arial" w:hAnsi="Arial"/>
          <w:color w:val="202020"/>
          <w:spacing w:val="102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>C,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Akita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H,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Kanazawa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 xml:space="preserve">K, </w:t>
      </w:r>
      <w:r>
        <w:rPr>
          <w:rFonts w:ascii="Arial" w:hAnsi="Arial"/>
          <w:color w:val="202020"/>
          <w:spacing w:val="-1"/>
          <w:sz w:val="16"/>
          <w:szCs w:val="16"/>
        </w:rPr>
        <w:t>Shiga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 xml:space="preserve">N, </w:t>
      </w:r>
      <w:r>
        <w:rPr>
          <w:rFonts w:ascii="Arial" w:hAnsi="Arial"/>
          <w:color w:val="202020"/>
          <w:spacing w:val="-1"/>
          <w:sz w:val="16"/>
          <w:szCs w:val="16"/>
        </w:rPr>
        <w:t>Terashima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M,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Matsuda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Y,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Takai</w:t>
      </w:r>
      <w:r>
        <w:rPr>
          <w:rFonts w:ascii="Arial" w:hAnsi="Arial"/>
          <w:color w:val="202020"/>
          <w:sz w:val="16"/>
          <w:szCs w:val="16"/>
        </w:rPr>
        <w:t xml:space="preserve"> E, </w:t>
      </w:r>
      <w:r>
        <w:rPr>
          <w:rFonts w:ascii="Arial" w:hAnsi="Arial"/>
          <w:color w:val="202020"/>
          <w:spacing w:val="-1"/>
          <w:sz w:val="16"/>
          <w:szCs w:val="16"/>
        </w:rPr>
        <w:t>Miyamoto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Y,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Shimizu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M,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Kajiya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>T,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Hayashi</w:t>
      </w:r>
      <w:r>
        <w:rPr>
          <w:rFonts w:ascii="Arial" w:hAnsi="Arial"/>
          <w:color w:val="202020"/>
          <w:sz w:val="16"/>
          <w:szCs w:val="16"/>
        </w:rPr>
        <w:t xml:space="preserve"> T,</w:t>
      </w:r>
      <w:r>
        <w:rPr>
          <w:rFonts w:ascii="Arial" w:hAnsi="Arial"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Yokoyama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z w:val="16"/>
          <w:szCs w:val="16"/>
        </w:rPr>
        <w:t>M.</w:t>
      </w:r>
    </w:p>
    <w:p>
      <w:pPr>
        <w:pStyle w:val="Normal"/>
        <w:spacing w:lineRule="auto" w:line="240"/>
        <w:ind w:hanging="0" w:left="108"/>
        <w:rPr>
          <w:sz w:val="16"/>
          <w:szCs w:val="16"/>
        </w:rPr>
      </w:pPr>
      <w:r>
        <w:rPr>
          <w:rFonts w:ascii="Arial" w:hAnsi="Arial"/>
          <w:i/>
          <w:color w:val="202020"/>
          <w:spacing w:val="-1"/>
          <w:sz w:val="16"/>
          <w:szCs w:val="16"/>
        </w:rPr>
        <w:t>Arg389Gly polymorphism</w:t>
      </w:r>
      <w:r>
        <w:rPr>
          <w:rFonts w:ascii="Arial" w:hAnsi="Arial"/>
          <w:i/>
          <w:color w:val="202020"/>
          <w:sz w:val="16"/>
          <w:szCs w:val="16"/>
        </w:rPr>
        <w:t xml:space="preserve"> of</w:t>
      </w:r>
      <w:r>
        <w:rPr>
          <w:rFonts w:ascii="Arial" w:hAnsi="Arial"/>
          <w:i/>
          <w:color w:val="202020"/>
          <w:spacing w:val="-1"/>
          <w:sz w:val="16"/>
          <w:szCs w:val="16"/>
        </w:rPr>
        <w:t xml:space="preserve"> the human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beta1-adrenergic receptor</w:t>
      </w:r>
      <w:r>
        <w:rPr>
          <w:rFonts w:ascii="Arial" w:hAnsi="Arial"/>
          <w:i/>
          <w:color w:val="202020"/>
          <w:sz w:val="16"/>
          <w:szCs w:val="16"/>
        </w:rPr>
        <w:t xml:space="preserve"> in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patients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with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nonfatal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acute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myocardial</w:t>
      </w:r>
      <w:r>
        <w:rPr>
          <w:rFonts w:ascii="Arial" w:hAnsi="Arial"/>
          <w:i/>
          <w:color w:val="202020"/>
          <w:sz w:val="16"/>
          <w:szCs w:val="16"/>
        </w:rPr>
        <w:t xml:space="preserve"> </w:t>
      </w:r>
      <w:r>
        <w:rPr>
          <w:rFonts w:ascii="Arial" w:hAnsi="Arial"/>
          <w:i/>
          <w:color w:val="202020"/>
          <w:spacing w:val="-1"/>
          <w:sz w:val="16"/>
          <w:szCs w:val="16"/>
        </w:rPr>
        <w:t>infarction.</w:t>
      </w:r>
      <w:r>
        <w:rPr>
          <w:rFonts w:ascii="Arial" w:hAnsi="Arial"/>
          <w:i/>
          <w:color w:val="202020"/>
          <w:spacing w:val="2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Am</w:t>
      </w:r>
      <w:r>
        <w:rPr>
          <w:rFonts w:ascii="Arial" w:hAnsi="Arial"/>
          <w:color w:val="202020"/>
          <w:spacing w:val="1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Heart</w:t>
      </w:r>
      <w:r>
        <w:rPr>
          <w:rFonts w:ascii="Arial" w:hAnsi="Arial"/>
          <w:color w:val="202020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J.</w:t>
      </w:r>
      <w:r>
        <w:rPr>
          <w:rFonts w:ascii="Arial" w:hAnsi="Arial"/>
          <w:color w:val="202020"/>
          <w:sz w:val="16"/>
          <w:szCs w:val="16"/>
        </w:rPr>
        <w:t xml:space="preserve"> </w:t>
      </w:r>
      <w:r>
        <w:rPr>
          <w:rFonts w:ascii="Arial" w:hAnsi="Arial"/>
          <w:color w:val="202020"/>
          <w:spacing w:val="-1"/>
          <w:sz w:val="16"/>
          <w:szCs w:val="16"/>
        </w:rPr>
        <w:t>2003</w:t>
      </w:r>
    </w:p>
    <w:p>
      <w:pPr>
        <w:pStyle w:val="Normal"/>
        <w:spacing w:lineRule="auto" w:line="240" w:before="29" w:after="0"/>
        <w:ind w:hanging="0" w:left="108"/>
        <w:rPr>
          <w:sz w:val="16"/>
          <w:szCs w:val="16"/>
        </w:rPr>
      </w:pPr>
      <w:r>
        <w:rPr>
          <w:rFonts w:ascii="Arial" w:hAnsi="Arial"/>
          <w:color w:val="202020"/>
          <w:spacing w:val="-1"/>
          <w:sz w:val="16"/>
          <w:szCs w:val="16"/>
        </w:rPr>
        <w:t>Jul;146(1):106-9.</w:t>
      </w:r>
    </w:p>
    <w:p>
      <w:pPr>
        <w:pStyle w:val="Normal"/>
        <w:spacing w:lineRule="auto" w:line="240" w:before="9" w:after="0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40"/>
        <w:ind w:hanging="0" w:left="108" w:right="112"/>
        <w:rPr>
          <w:sz w:val="16"/>
          <w:szCs w:val="16"/>
        </w:rPr>
      </w:pPr>
      <w:r>
        <w:rPr>
          <w:rFonts w:ascii="Arial" w:hAnsi="Arial"/>
          <w:spacing w:val="-1"/>
          <w:sz w:val="16"/>
          <w:szCs w:val="16"/>
        </w:rPr>
        <w:t>Willer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et al.</w:t>
      </w:r>
      <w:r>
        <w:rPr>
          <w:rFonts w:ascii="Arial" w:hAnsi="Arial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(2009).</w:t>
      </w:r>
      <w:r>
        <w:rPr>
          <w:rFonts w:ascii="Arial" w:hAnsi="Arial"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Six new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loci</w:t>
      </w:r>
      <w:r>
        <w:rPr>
          <w:rFonts w:ascii="Arial" w:hAnsi="Arial"/>
          <w:i/>
          <w:spacing w:val="1"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associated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with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body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mass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index highlight</w:t>
      </w:r>
      <w:r>
        <w:rPr>
          <w:rFonts w:ascii="Arial" w:hAnsi="Arial"/>
          <w:i/>
          <w:sz w:val="16"/>
          <w:szCs w:val="16"/>
        </w:rPr>
        <w:t xml:space="preserve"> a </w:t>
      </w:r>
      <w:r>
        <w:rPr>
          <w:rFonts w:ascii="Arial" w:hAnsi="Arial"/>
          <w:i/>
          <w:spacing w:val="-1"/>
          <w:sz w:val="16"/>
          <w:szCs w:val="16"/>
        </w:rPr>
        <w:t>neuronal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influence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on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i/>
          <w:spacing w:val="-1"/>
          <w:sz w:val="16"/>
          <w:szCs w:val="16"/>
        </w:rPr>
        <w:t>body weight regulation.</w:t>
      </w:r>
      <w:r>
        <w:rPr>
          <w:rFonts w:ascii="Arial" w:hAnsi="Arial"/>
          <w:i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Nat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Genet</w:t>
      </w:r>
      <w:r>
        <w:rPr>
          <w:rFonts w:ascii="Arial" w:hAnsi="Arial"/>
          <w:spacing w:val="-2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41(1):</w:t>
      </w:r>
      <w:r>
        <w:rPr>
          <w:rFonts w:ascii="Arial" w:hAnsi="Arial"/>
          <w:spacing w:val="1"/>
          <w:sz w:val="16"/>
          <w:szCs w:val="16"/>
        </w:rPr>
        <w:t xml:space="preserve"> </w:t>
      </w:r>
      <w:r>
        <w:rPr>
          <w:rFonts w:ascii="Arial" w:hAnsi="Arial"/>
          <w:spacing w:val="-1"/>
          <w:sz w:val="16"/>
          <w:szCs w:val="16"/>
        </w:rPr>
        <w:t>25-</w:t>
      </w:r>
      <w:r>
        <w:rPr>
          <w:rFonts w:ascii="Arial" w:hAnsi="Arial"/>
          <w:spacing w:val="121"/>
          <w:sz w:val="16"/>
          <w:szCs w:val="16"/>
        </w:rPr>
        <w:t xml:space="preserve"> </w:t>
      </w:r>
      <w:r>
        <w:rPr>
          <w:rFonts w:ascii="Arial" w:hAnsi="Arial"/>
          <w:spacing w:val="-4"/>
          <w:sz w:val="16"/>
          <w:szCs w:val="16"/>
        </w:rPr>
        <w:t>34</w:t>
      </w:r>
    </w:p>
    <w:p>
      <w:pPr>
        <w:pStyle w:val="Normal"/>
        <w:spacing w:lineRule="auto" w:line="276"/>
        <w:ind w:hanging="0" w:left="108" w:right="112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p>
      <w:pPr>
        <w:pStyle w:val="Normal"/>
        <w:spacing w:lineRule="auto" w:line="276"/>
        <w:ind w:hanging="0" w:left="108" w:right="112"/>
        <w:rPr>
          <w:rFonts w:ascii="Arial" w:hAnsi="Arial" w:eastAsia="Arial" w:cs="Arial"/>
          <w:sz w:val="16"/>
          <w:szCs w:val="16"/>
        </w:rPr>
      </w:pPr>
      <w:r>
        <w:rPr>
          <w:rFonts w:eastAsia="Arial" w:cs="Arial" w:ascii="Arial" w:hAnsi="Arial"/>
          <w:sz w:val="16"/>
          <w:szCs w:val="16"/>
        </w:rPr>
      </w:r>
    </w:p>
    <w:tbl>
      <w:tblPr>
        <w:tblStyle w:val="TableNormal"/>
        <w:tblW w:w="10119" w:type="dxa"/>
        <w:jc w:val="left"/>
        <w:tblInd w:w="124" w:type="dxa"/>
        <w:tblLayout w:type="fixed"/>
        <w:tblCellMar>
          <w:top w:w="43" w:type="dxa"/>
          <w:left w:w="72" w:type="dxa"/>
          <w:bottom w:w="0" w:type="dxa"/>
          <w:right w:w="72" w:type="dxa"/>
        </w:tblCellMar>
        <w:tblLook w:val="01e0" w:noHBand="0" w:noVBand="0" w:firstColumn="1" w:lastRow="1" w:lastColumn="1" w:firstRow="1"/>
      </w:tblPr>
      <w:tblGrid>
        <w:gridCol w:w="1232"/>
        <w:gridCol w:w="2210"/>
        <w:gridCol w:w="1847"/>
        <w:gridCol w:w="2318"/>
        <w:gridCol w:w="2512"/>
      </w:tblGrid>
      <w:tr>
        <w:trPr>
          <w:trHeight w:val="1262" w:hRule="exact"/>
        </w:trPr>
        <w:tc>
          <w:tcPr>
            <w:tcW w:w="123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6" w:after="0"/>
              <w:ind w:hanging="0" w:left="32"/>
              <w:jc w:val="left"/>
              <w:rPr>
                <w:rFonts w:ascii="Arial" w:hAnsi="Arial" w:eastAsia="Arial" w:cs="Arial"/>
                <w:sz w:val="20"/>
                <w:szCs w:val="18"/>
              </w:rPr>
            </w:pPr>
            <w:r>
              <w:rPr>
                <w:rFonts w:ascii="Arial" w:hAnsi="Arial"/>
                <w:b/>
                <w:spacing w:val="-1"/>
                <w:kern w:val="0"/>
                <w:sz w:val="20"/>
                <w:szCs w:val="18"/>
                <w:lang w:val="en-US" w:eastAsia="en-US" w:bidi="ar-SA"/>
              </w:rPr>
              <w:t>RISCHIO:</w:t>
            </w:r>
          </w:p>
        </w:tc>
        <w:tc>
          <w:tcPr>
            <w:tcW w:w="2210" w:type="dxa"/>
            <w:tcBorders>
              <w:top w:val="single" w:sz="6" w:space="0" w:color="000000"/>
              <w:bottom w:val="single" w:sz="6" w:space="0" w:color="000000"/>
            </w:tcBorders>
            <w:shd w:color="auto" w:fill="FF0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ALTO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(elevato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color w:val="FFFFFF"/>
                <w:spacing w:val="-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7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1847" w:type="dxa"/>
            <w:tcBorders>
              <w:top w:val="single" w:sz="6" w:space="0" w:color="000000"/>
              <w:bottom w:val="single" w:sz="6" w:space="0" w:color="000000"/>
            </w:tcBorders>
            <w:shd w:color="auto" w:fill="F49D16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medio</w:t>
            </w:r>
            <w:r>
              <w:rPr>
                <w:rFonts w:ascii="Arial" w:hAnsi="Arial"/>
                <w:b/>
                <w:color w:val="FFFFFF"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318" w:type="dxa"/>
            <w:tcBorders>
              <w:top w:val="single" w:sz="6" w:space="0" w:color="000000"/>
              <w:bottom w:val="single" w:sz="6" w:space="0" w:color="000000"/>
            </w:tcBorders>
            <w:shd w:color="auto" w:fill="FFFF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47" w:after="0"/>
              <w:ind w:hanging="0" w:left="33"/>
              <w:jc w:val="both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LIEVE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46" w:after="0"/>
              <w:ind w:hanging="0" w:left="33" w:right="592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(basso</w:t>
            </w:r>
            <w:r>
              <w:rPr>
                <w:rFonts w:ascii="Arial" w:hAnsi="Arial"/>
                <w:b/>
                <w:spacing w:val="-6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numero</w:t>
            </w:r>
            <w:r>
              <w:rPr>
                <w:rFonts w:ascii="Arial" w:hAnsi="Arial"/>
                <w:b/>
                <w:spacing w:val="-5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spacing w:val="24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spacing w:val="-12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</w:p>
        </w:tc>
        <w:tc>
          <w:tcPr>
            <w:tcW w:w="2512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color="auto" w:fill="008000" w:val="clear"/>
          </w:tcPr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/>
                <w:b/>
                <w:color w:val="FFFFFF"/>
                <w:spacing w:val="-1"/>
                <w:sz w:val="18"/>
                <w:szCs w:val="16"/>
                <w:lang w:val="it-IT"/>
              </w:rPr>
            </w:pPr>
            <w:r>
              <w:rPr>
                <w:rFonts w:eastAsia="Calibri" w:cs="" w:ascii="Arial" w:hAnsi="Arial"/>
                <w:b/>
                <w:color w:val="FFFFFF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eastAsia="Calibri" w:cs="" w:ascii="Arial" w:hAnsi="Arial"/>
                <w:b/>
                <w:color w:val="FFFFFF"/>
                <w:spacing w:val="-18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eastAsia="Calibri" w:cs=""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EVIDENTE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5" w:after="0"/>
              <w:ind w:hanging="0" w:left="33"/>
              <w:jc w:val="left"/>
              <w:rPr>
                <w:rFonts w:ascii="Arial" w:hAnsi="Arial" w:eastAsia="Arial" w:cs="Arial"/>
                <w:sz w:val="18"/>
                <w:szCs w:val="16"/>
                <w:lang w:val="it-IT"/>
              </w:rPr>
            </w:pP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(numero</w:t>
            </w:r>
            <w:r>
              <w:rPr>
                <w:rFonts w:ascii="Arial" w:hAnsi="Arial"/>
                <w:b/>
                <w:color w:val="FFFFFF"/>
                <w:spacing w:val="-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NON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SIGNIFICATIVO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di</w:t>
            </w:r>
            <w:r>
              <w:rPr>
                <w:rFonts w:ascii="Arial" w:hAnsi="Arial"/>
                <w:b/>
                <w:color w:val="FFFFFF"/>
                <w:spacing w:val="-13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varianti</w:t>
            </w:r>
            <w:r>
              <w:rPr>
                <w:rFonts w:ascii="Arial" w:hAnsi="Arial"/>
                <w:b/>
                <w:color w:val="FFFFFF"/>
                <w:spacing w:val="22"/>
                <w:w w:val="9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genetiche</w:t>
            </w:r>
            <w:r>
              <w:rPr>
                <w:rFonts w:ascii="Arial" w:hAnsi="Arial"/>
                <w:b/>
                <w:color w:val="FFFFFF"/>
                <w:spacing w:val="-19"/>
                <w:kern w:val="0"/>
                <w:sz w:val="18"/>
                <w:szCs w:val="16"/>
                <w:lang w:val="it-IT" w:eastAsia="en-US" w:bidi="ar-SA"/>
              </w:rPr>
              <w:t xml:space="preserve"> </w:t>
            </w:r>
            <w:r>
              <w:rPr>
                <w:rFonts w:ascii="Arial" w:hAnsi="Arial"/>
                <w:b/>
                <w:color w:val="FFFFFF"/>
                <w:spacing w:val="-1"/>
                <w:kern w:val="0"/>
                <w:sz w:val="18"/>
                <w:szCs w:val="16"/>
                <w:lang w:val="it-IT" w:eastAsia="en-US" w:bidi="ar-SA"/>
              </w:rPr>
              <w:t>predisponenti)</w:t>
            </w:r>
            <w:bookmarkStart w:id="16" w:name="_Hlk83980272"/>
            <w:bookmarkEnd w:id="16"/>
          </w:p>
        </w:tc>
      </w:tr>
    </w:tbl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p>
      <w:pPr>
        <w:pStyle w:val="Normal"/>
        <w:rPr>
          <w:lang w:val="it-IT"/>
        </w:rPr>
      </w:pPr>
      <w:r>
        <w:rPr>
          <w:lang w:val="it-IT"/>
        </w:rPr>
      </w:r>
    </w:p>
    <w:sectPr>
      <w:headerReference w:type="even" r:id="rId4"/>
      <w:headerReference w:type="default" r:id="rId5"/>
      <w:headerReference w:type="first" r:id="rId6"/>
      <w:footerReference w:type="even" r:id="rId7"/>
      <w:footerReference w:type="default" r:id="rId8"/>
      <w:footerReference w:type="first" r:id="rId9"/>
      <w:type w:val="nextPage"/>
      <w:pgSz w:w="11906" w:h="16838"/>
      <w:pgMar w:left="740" w:right="740" w:gutter="0" w:header="518" w:top="2051" w:footer="388" w:bottom="932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default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Times New Roman">
    <w:charset w:val="01"/>
    <w:family w:val="swiss"/>
    <w:pitch w:val="default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  <w:u w:val="single"/>
        <w:lang w:val="it-IT"/>
      </w:rPr>
    </w:pPr>
    <w:r>
      <w:rPr>
        <w:rFonts w:cs="Arial" w:ascii="Arial" w:hAnsi="Arial"/>
        <w:sz w:val="16"/>
        <w:szCs w:val="16"/>
        <w:u w:val="single"/>
        <w:lang w:val="it-IT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181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1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rFonts w:ascii="Arial" w:hAnsi="Arial" w:cs="Arial"/>
        <w:sz w:val="16"/>
        <w:szCs w:val="16"/>
        <w:u w:val="single"/>
        <w:lang w:val="it-IT"/>
      </w:rPr>
    </w:pPr>
    <w:r>
      <w:rPr>
        <w:rFonts w:cs="Arial" w:ascii="Arial" w:hAnsi="Arial"/>
        <w:sz w:val="16"/>
        <w:szCs w:val="16"/>
        <w:u w:val="single"/>
        <w:lang w:val="it-IT"/>
      </w:rPr>
    </w:r>
  </w:p>
  <w:tbl>
    <w:tblPr>
      <w:tblW w:w="10426" w:type="dxa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551"/>
      <w:gridCol w:w="1874"/>
    </w:tblGrid>
    <w:tr>
      <w:trPr>
        <w:trHeight w:val="181" w:hRule="atLeast"/>
      </w:trPr>
      <w:tc>
        <w:tcPr>
          <w:tcW w:w="8551" w:type="dxa"/>
          <w:tcBorders/>
        </w:tcPr>
        <w:p>
          <w:pPr>
            <w:pStyle w:val="TableContents"/>
            <w:widowControl w:val="false"/>
            <w:rPr>
              <w:rFonts w:ascii="arial" w:hAnsi="arial" w:eastAsia="Calibri" w:cs="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</w:pPr>
          <w:r>
            <w:rPr>
              <w:rFonts w:eastAsia="Calibri" w:cs="" w:ascii="arial" w:hAnsi="arial" w:cstheme="minorBidi" w:eastAsiaTheme="minorHAnsi"/>
              <w:color w:val="auto"/>
              <w:kern w:val="0"/>
              <w:sz w:val="16"/>
              <w:szCs w:val="16"/>
              <w:lang w:val="en-US" w:eastAsia="en-US" w:bidi="ar-SA"/>
            </w:rPr>
            <w:t>footernote</w:t>
          </w:r>
        </w:p>
      </w:tc>
      <w:tc>
        <w:tcPr>
          <w:tcW w:w="1874" w:type="dxa"/>
          <w:tcBorders/>
        </w:tcPr>
        <w:p>
          <w:pPr>
            <w:pStyle w:val="TableContents"/>
            <w:widowControl w:val="false"/>
            <w:jc w:val="right"/>
            <w:rPr>
              <w:rFonts w:ascii="Arial" w:hAnsi="Arial"/>
              <w:sz w:val="16"/>
              <w:szCs w:val="16"/>
            </w:rPr>
          </w:pPr>
          <w:r>
            <w:rPr>
              <w:rFonts w:ascii="Arial" w:hAnsi="Arial"/>
              <w:sz w:val="16"/>
              <w:szCs w:val="16"/>
            </w:rPr>
            <w:t xml:space="preserve">Referto - Pag. </w:t>
          </w:r>
          <w:r>
            <w:rPr>
              <w:rFonts w:ascii="Arial" w:hAnsi="Arial"/>
              <w:sz w:val="16"/>
              <w:szCs w:val="16"/>
            </w:rPr>
            <w:fldChar w:fldCharType="begin"/>
          </w:r>
          <w:r>
            <w:rPr>
              <w:sz w:val="16"/>
              <w:szCs w:val="16"/>
              <w:rFonts w:ascii="Arial" w:hAnsi="Arial"/>
            </w:rPr>
            <w:instrText xml:space="preserve"> PAGE </w:instrText>
          </w:r>
          <w:r>
            <w:rPr>
              <w:sz w:val="16"/>
              <w:szCs w:val="16"/>
              <w:rFonts w:ascii="Arial" w:hAnsi="Arial"/>
            </w:rPr>
            <w:fldChar w:fldCharType="separate"/>
          </w:r>
          <w:r>
            <w:rPr>
              <w:sz w:val="16"/>
              <w:szCs w:val="16"/>
              <w:rFonts w:ascii="Arial" w:hAnsi="Arial"/>
            </w:rPr>
            <w:t>1</w:t>
          </w:r>
          <w:r>
            <w:rPr>
              <w:sz w:val="16"/>
              <w:szCs w:val="16"/>
              <w:rFonts w:ascii="Arial" w:hAnsi="Arial"/>
            </w:rPr>
            <w:fldChar w:fldCharType="end"/>
          </w:r>
        </w:p>
      </w:tc>
    </w:tr>
  </w:tbl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/>
      <w:rPr>
        <w:sz w:val="20"/>
        <w:szCs w:val="20"/>
      </w:rPr>
    </w:pPr>
    <w:r>
      <w:rPr>
        <w:sz w:val="20"/>
        <w:szCs w:val="20"/>
      </w:rPr>
    </w:r>
  </w:p>
</w:hdr>
</file>

<file path=word/settings.xml><?xml version="1.0" encoding="utf-8"?>
<w:settings xmlns:w="http://schemas.openxmlformats.org/wordprocessingml/2006/main">
  <w:zoom w:percent="35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uiPriority w:val="9"/>
    <w:qFormat/>
    <w:pPr>
      <w:spacing w:before="69" w:after="0"/>
      <w:outlineLvl w:val="0"/>
    </w:pPr>
    <w:rPr>
      <w:rFonts w:ascii="Arial" w:hAnsi="Arial" w:eastAsia="Arial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30" w:after="0"/>
      <w:ind w:hanging="0" w:left="108"/>
      <w:outlineLvl w:val="1"/>
    </w:pPr>
    <w:rPr>
      <w:rFonts w:ascii="Calibri" w:hAnsi="Calibri" w:eastAsia="Calibri"/>
      <w:b/>
      <w:bCs/>
    </w:rPr>
  </w:style>
  <w:style w:type="paragraph" w:styleId="Heading3">
    <w:name w:val="Heading 3"/>
    <w:basedOn w:val="Normal"/>
    <w:uiPriority w:val="9"/>
    <w:unhideWhenUsed/>
    <w:qFormat/>
    <w:pPr>
      <w:ind w:hanging="0" w:left="108"/>
      <w:outlineLvl w:val="2"/>
    </w:pPr>
    <w:rPr>
      <w:rFonts w:ascii="Arial" w:hAnsi="Arial" w:eastAsia="Arial"/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stazioneCarattere" w:customStyle="1">
    <w:name w:val="Intestazione Carattere"/>
    <w:basedOn w:val="DefaultParagraphFont"/>
    <w:uiPriority w:val="99"/>
    <w:qFormat/>
    <w:rsid w:val="00217c8c"/>
    <w:rPr/>
  </w:style>
  <w:style w:type="character" w:styleId="PidipaginaCarattere" w:customStyle="1">
    <w:name w:val="Piè di pagina Carattere"/>
    <w:basedOn w:val="DefaultParagraphFont"/>
    <w:uiPriority w:val="99"/>
    <w:qFormat/>
    <w:rsid w:val="00217c8c"/>
    <w:rPr/>
  </w:style>
  <w:style w:type="character" w:styleId="PlaceholderText">
    <w:name w:val="Placeholder Text"/>
    <w:basedOn w:val="DefaultParagraphFont"/>
    <w:uiPriority w:val="99"/>
    <w:semiHidden/>
    <w:qFormat/>
    <w:rsid w:val="00f474bf"/>
    <w:rPr>
      <w:color w:val="808080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ind w:hanging="0" w:left="108"/>
    </w:pPr>
    <w:rPr>
      <w:rFonts w:ascii="Arial" w:hAnsi="Arial" w:eastAsia="Arial"/>
      <w:sz w:val="20"/>
      <w:szCs w:val="20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217c8c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Normal"/>
    <w:link w:val="PidipaginaCarattere"/>
    <w:uiPriority w:val="99"/>
    <w:unhideWhenUsed/>
    <w:rsid w:val="00217c8c"/>
    <w:pPr>
      <w:tabs>
        <w:tab w:val="clear" w:pos="720"/>
        <w:tab w:val="center" w:pos="4680" w:leader="none"/>
        <w:tab w:val="right" w:pos="9360" w:leader="none"/>
      </w:tabs>
    </w:pPr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Grigliatabella">
    <w:name w:val="Table Grid"/>
    <w:basedOn w:val="Tabellanormale"/>
    <w:uiPriority w:val="39"/>
    <w:rsid w:val="0040553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header" Target="header3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</TotalTime>
  <Application>LibreOffice/24.2.7.2$Linux_X86_64 LibreOffice_project/420$Build-2</Application>
  <AppVersion>15.0000</AppVersion>
  <Pages>7</Pages>
  <Words>1188</Words>
  <Characters>7335</Characters>
  <CharactersWithSpaces>8391</CharactersWithSpaces>
  <Paragraphs>136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2021-09-15T14:13:00Z</dcterms:created>
  <dc:creator/>
  <dc:description/>
  <dc:language>en-US</dc:language>
  <cp:lastModifiedBy/>
  <dcterms:modified xsi:type="dcterms:W3CDTF">2026-03-09T15:46:22Z</dcterms:modified>
  <cp:revision>108</cp:revision>
  <dc:subject/>
  <dc:title>WPCubed PDF Viewer Document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2021-09-15T00:00:00Z</vt:filetime>
  </property>
  <property fmtid="{D5CDD505-2E9C-101B-9397-08002B2CF9AE}" pid="3" name="LastSaved">
    <vt:filetime>2021-09-15T00:00:00Z</vt:filetime>
  </property>
</Properties>
</file>