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u3nz8qqyeb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Consultas AR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 foi o mês com mais vendas concluídas no ano 2025?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γ mes; COUNT(id_venda)→qtde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π SUBSTRING(data_assinatura_contrato,6,2)→mes, id_venda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 status_venda = 'concluida'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AND data_assinatura_contrato &gt;= '2025-01-01'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AND data_assinatura_contrato &lt;= '2025-12-31'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(Venda)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 o total de vendas e o total de comissão por corretor em 2025?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π nome, total_vendas, total_comissao ( γ id_corretor; count(id_venda)-&gt;total_vendas, sum(comissao_corretor)-&gt;total_comissao (Corretor_Venda ⋈ π id_venda (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σ data_assinatura_contrato &gt;= '2025-01-01' ∧ data_assinatura_contrato &lt;= '2025-12-31' (Venda) ) ) ⋈ π id_corretor, nome (Corretor))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Quais foram os 5 bairros com o maior número de vendas concluídas no período 2024 a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both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π total_vendas desc (γ bairro; COUNT(id_venda)-&gt;total_vendas ((σ status_venda = 'concluida' ∧ data_assinatura_contrato &gt;= '2024-01-01' ∧ data_assinatura_contrato &lt;= '2026-12-31' (Venda)) ⋈ Imovel ))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Quais foram os 10 imóveis (ID, bairro e a metragem) com valor de metro quadrado mais caros vendidos no período 2025 a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π valor_m2 desc (π id_imovel, bairro, area_total, (valor_final / area_total) -&gt; valor_m2 ( (σ (data_assinatura_contrato &gt;= '2025-01-01' ∧  data_assinatura_contrato &lt;= '2026-12-31') ∧ (status_venda =  'concluida') (Venda)) ⋈ Imovel))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 foi o tipo de imóvel (apartamento, casa, terreno) mais vendido no ano 2025?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08.6614173228347" w:right="-40.8661417322827" w:firstLine="0"/>
        <w:rPr>
          <w:rFonts w:ascii="Cardo" w:cs="Cardo" w:eastAsia="Cardo" w:hAnsi="Cardo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π total_vendas desc (γ tipo_imovel; COUNT(id_venda)-&gt;total_vendas ((σ (data_assinatura_contrato &gt;= '2025-01-01' ∧ data_assinatura_contrato &lt;= '2025-12-31') ∧ (status_venda =  'concluida') (Venda)) ⋈ Imovel ))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