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CB701" w14:textId="1F2A8F51" w:rsidR="009A31EC" w:rsidRDefault="009A31EC">
      <w:pPr>
        <w:rPr>
          <w:b/>
          <w:bCs/>
        </w:rPr>
      </w:pPr>
      <w:r>
        <w:rPr>
          <w:b/>
          <w:bCs/>
        </w:rPr>
        <w:t>Extra Measures in Rachmaninoff’s G-Minor Prelude, Op. 23, No. 5</w:t>
      </w:r>
      <w:r w:rsidR="00827B21">
        <w:rPr>
          <w:b/>
          <w:bCs/>
        </w:rPr>
        <w:br/>
      </w:r>
      <w:r>
        <w:rPr>
          <w:b/>
          <w:bCs/>
        </w:rPr>
        <w:t>Peer Review</w:t>
      </w:r>
      <w:r>
        <w:rPr>
          <w:b/>
          <w:bCs/>
        </w:rPr>
        <w:br/>
      </w:r>
    </w:p>
    <w:p w14:paraId="03155E14" w14:textId="61719508" w:rsidR="009A31EC" w:rsidRDefault="00174D75">
      <w:r>
        <w:t xml:space="preserve">The Rachmaninoff prelude analyzed here is in common time, </w:t>
      </w:r>
      <w:r w:rsidR="00552332">
        <w:t xml:space="preserve">with two non-consecutive measures in 2/4. From this seemingly benign detail, the Author </w:t>
      </w:r>
      <w:r w:rsidR="006B7942">
        <w:t xml:space="preserve">spins out a formal and metrical analysis </w:t>
      </w:r>
      <w:r w:rsidR="00AA7360">
        <w:t xml:space="preserve">that identifies a plausible four-square </w:t>
      </w:r>
      <w:r w:rsidR="004864B6">
        <w:t>phrase-structure prototype with displacements and interpolations that do not align with the notated time signature shifts.</w:t>
      </w:r>
      <w:r w:rsidR="00B0619D">
        <w:t xml:space="preserve"> The analysis is convincing</w:t>
      </w:r>
      <w:r w:rsidR="000E109B">
        <w:t>,</w:t>
      </w:r>
      <w:r w:rsidR="00B0619D">
        <w:t xml:space="preserve"> insightful</w:t>
      </w:r>
      <w:r w:rsidR="000E109B">
        <w:t>, and well-argued</w:t>
      </w:r>
      <w:r w:rsidR="00776023">
        <w:t>.</w:t>
      </w:r>
    </w:p>
    <w:p w14:paraId="2739C508" w14:textId="7BE28EDD" w:rsidR="00EF5CAC" w:rsidRDefault="00EF5CAC">
      <w:r>
        <w:t xml:space="preserve">I recommend that the </w:t>
      </w:r>
      <w:r w:rsidR="003A337D">
        <w:t>submission</w:t>
      </w:r>
      <w:r>
        <w:t xml:space="preserve"> be accepted for publication. </w:t>
      </w:r>
      <w:r w:rsidR="007B058A">
        <w:t>I have only minor comments for the Author’s consideration.</w:t>
      </w:r>
      <w:r w:rsidR="00782487">
        <w:br/>
      </w:r>
    </w:p>
    <w:p w14:paraId="073B8AF9" w14:textId="11D3CC99" w:rsidR="00577A3A" w:rsidRDefault="00577A3A">
      <w:r>
        <w:t>Page 3: Although it makes an interesting connection, I do not believe that footnote 3 is relevant to the submission’s argument. I recommend removing it.</w:t>
      </w:r>
    </w:p>
    <w:p w14:paraId="4D81CBC7" w14:textId="0E8CCF99" w:rsidR="00782487" w:rsidRDefault="00782487">
      <w:r>
        <w:t xml:space="preserve">Page 4: </w:t>
      </w:r>
      <w:r w:rsidR="008F5A88">
        <w:t xml:space="preserve">The Author makes the case that </w:t>
      </w:r>
      <w:r w:rsidR="00E80988">
        <w:t>m</w:t>
      </w:r>
      <w:r w:rsidR="00E4584A">
        <w:t>easures</w:t>
      </w:r>
      <w:r w:rsidR="00E80988">
        <w:t xml:space="preserve"> 3–5 constitute a presentation—a formal beginning. </w:t>
      </w:r>
      <w:r w:rsidR="00054721">
        <w:t xml:space="preserve">But on pages 2–3, the Author noted the use of fragmentation in this </w:t>
      </w:r>
      <w:r w:rsidR="00C758C2">
        <w:t xml:space="preserve">very </w:t>
      </w:r>
      <w:r w:rsidR="00054721">
        <w:t>material—a feature of formal middles.</w:t>
      </w:r>
      <w:r w:rsidR="00603B15">
        <w:t xml:space="preserve"> I don’t wish to call the Author’s presentation interpretation into question</w:t>
      </w:r>
      <w:r w:rsidR="00E4584A">
        <w:t xml:space="preserve">. Could the Author reconcile the two observations </w:t>
      </w:r>
      <w:r w:rsidR="00C334E4">
        <w:t xml:space="preserve">more </w:t>
      </w:r>
      <w:r w:rsidR="00E4584A">
        <w:t>explicitly?</w:t>
      </w:r>
    </w:p>
    <w:p w14:paraId="66C823EF" w14:textId="3157C58E" w:rsidR="00E4584A" w:rsidRDefault="00E4584A">
      <w:r>
        <w:t xml:space="preserve">Page 4: In footnote 4, the Author acknowledges that the half cadence in measure 9 </w:t>
      </w:r>
      <w:r w:rsidR="00FC1482">
        <w:t>is undermined by the introduction of the V harmony in second inversion prior to its sounding in root position.</w:t>
      </w:r>
      <w:r w:rsidR="00A0337A">
        <w:t xml:space="preserve"> I agree with the Author that despite this apparent problem, a half cadence nevertheless exists, but for a different reason than the Author.</w:t>
      </w:r>
      <w:r w:rsidR="00E5686A">
        <w:t xml:space="preserve"> The outer voices—A–D in the bass, F-sharp–D in the uppermost line—</w:t>
      </w:r>
      <w:r w:rsidR="001D438F">
        <w:t>are those of a V</w:t>
      </w:r>
      <w:r w:rsidR="001D438F">
        <w:rPr>
          <w:vertAlign w:val="superscript"/>
        </w:rPr>
        <w:t>13</w:t>
      </w:r>
      <w:r w:rsidR="001D438F">
        <w:t xml:space="preserve">/V to V progression. If the chord on A had C-sharp instead of D, </w:t>
      </w:r>
      <w:r w:rsidR="00634E87">
        <w:t xml:space="preserve">this would be the unambiguous harmonic interpretation. </w:t>
      </w:r>
      <w:r w:rsidR="005D78F7">
        <w:t>The inner voice C-sharp–D motion occurs one eighth note early</w:t>
      </w:r>
      <w:r w:rsidR="00257F2A">
        <w:t xml:space="preserve"> (i.e., C-sharp is in the preceding chord, D in the chord on A).</w:t>
      </w:r>
      <w:r w:rsidR="00AC5E7C">
        <w:t xml:space="preserve"> This is all to say that I interpret the chord on A not as V</w:t>
      </w:r>
      <w:r w:rsidR="00AC5E7C">
        <w:rPr>
          <w:vertAlign w:val="superscript"/>
        </w:rPr>
        <w:t>6/4</w:t>
      </w:r>
      <w:r w:rsidR="00AC5E7C">
        <w:t xml:space="preserve"> but as V</w:t>
      </w:r>
      <w:r w:rsidR="00AC5E7C">
        <w:rPr>
          <w:vertAlign w:val="superscript"/>
        </w:rPr>
        <w:t>13</w:t>
      </w:r>
      <w:r w:rsidR="00AC5E7C">
        <w:t>/V.</w:t>
      </w:r>
    </w:p>
    <w:p w14:paraId="19E79166" w14:textId="2D58F012" w:rsidR="007339E1" w:rsidRPr="00AC5E7C" w:rsidRDefault="007339E1">
      <w:r>
        <w:t xml:space="preserve">Page 5: The Author </w:t>
      </w:r>
      <w:r w:rsidR="00EE3CCF">
        <w:t>acknowledges an alternative interpretation</w:t>
      </w:r>
      <w:r w:rsidR="00C4384D">
        <w:t>:</w:t>
      </w:r>
      <w:r w:rsidR="00EE3CCF">
        <w:t xml:space="preserve"> a sentence beginning at measure 1. The disadvantage of this interpretation, the Author states, is that measures 5–9</w:t>
      </w:r>
      <w:r w:rsidR="005663C1">
        <w:t xml:space="preserve"> are “harder to explain.”</w:t>
      </w:r>
      <w:r w:rsidR="00E2500F">
        <w:t xml:space="preserve"> I don’t disagree with the Author’s preferred interpretation</w:t>
      </w:r>
      <w:r w:rsidR="00331E20">
        <w:t xml:space="preserve">, but I believe that measures 5–9 can still be explained under the sentence alternative. Since R=½N in this analysis, </w:t>
      </w:r>
      <w:r w:rsidR="000249CE">
        <w:t>measures 1–5 would form a sentence ending with an HC</w:t>
      </w:r>
      <w:r w:rsidR="00463C49">
        <w:t>,</w:t>
      </w:r>
      <w:r w:rsidR="000249CE">
        <w:t xml:space="preserve"> this sentence would be a larger-level antecedent</w:t>
      </w:r>
      <w:r w:rsidR="00463C49">
        <w:t>, and measures 5–9 would form a larger-</w:t>
      </w:r>
      <w:r w:rsidR="00456100">
        <w:t xml:space="preserve">level </w:t>
      </w:r>
      <w:r w:rsidR="00DC746A">
        <w:t>consequent (though loose</w:t>
      </w:r>
      <w:r w:rsidR="00CC1AFB">
        <w:t>, and failed via its own HC</w:t>
      </w:r>
      <w:r w:rsidR="00DC746A">
        <w:t>) or continuation (though sentential).</w:t>
      </w:r>
    </w:p>
    <w:p w14:paraId="5D51D98C" w14:textId="7B769968" w:rsidR="000562CF" w:rsidRDefault="000562CF">
      <w:r>
        <w:t xml:space="preserve">Pages 7–8: </w:t>
      </w:r>
      <w:r w:rsidR="0040290C">
        <w:t xml:space="preserve">The </w:t>
      </w:r>
      <w:r w:rsidR="00A25CCF">
        <w:t xml:space="preserve">Author invokes Lerdahl and Jackendoff’s metrical preference rules to affirm that </w:t>
      </w:r>
      <w:r w:rsidR="008871C0">
        <w:t>the downbeats of measures 1–3 are strong, since they have low bass notes.</w:t>
      </w:r>
      <w:r w:rsidR="006930CB">
        <w:t xml:space="preserve"> In the Author’s interpretation, there is a metrical shift at measure 3, so that </w:t>
      </w:r>
      <w:r w:rsidR="00895CDE">
        <w:t>each</w:t>
      </w:r>
      <w:r w:rsidR="006930CB">
        <w:t xml:space="preserve"> </w:t>
      </w:r>
      <w:r w:rsidR="00D551B5">
        <w:t xml:space="preserve">subsequent </w:t>
      </w:r>
      <w:r w:rsidR="006930CB">
        <w:t xml:space="preserve">notated </w:t>
      </w:r>
      <w:r w:rsidR="00D551B5">
        <w:t xml:space="preserve">downbeat </w:t>
      </w:r>
      <w:r w:rsidR="00895CDE">
        <w:t xml:space="preserve">is </w:t>
      </w:r>
      <w:r w:rsidR="00D551B5">
        <w:t xml:space="preserve">weak compared to beat 3. But the notated downbeats of measures 6 and 7 </w:t>
      </w:r>
      <w:r w:rsidR="004A57B6">
        <w:t xml:space="preserve">have low bass notes—the </w:t>
      </w:r>
      <w:r w:rsidR="00A17534">
        <w:t xml:space="preserve">very </w:t>
      </w:r>
      <w:r w:rsidR="004A57B6">
        <w:t>lowest in the passage.</w:t>
      </w:r>
      <w:r w:rsidR="00E56688">
        <w:t xml:space="preserve"> Can the Author address why the bass MPR applies to measures 1–3 but not measures 6–7?</w:t>
      </w:r>
    </w:p>
    <w:p w14:paraId="53178D50" w14:textId="6AA3B986" w:rsidR="00967247" w:rsidRDefault="00967247">
      <w:r>
        <w:lastRenderedPageBreak/>
        <w:t>Page 9: In footnote 8, the Author states that a particular tonic harmony is sustained for “four or seven measures depending on individual reading.”</w:t>
      </w:r>
      <w:r w:rsidR="009F3C55">
        <w:t xml:space="preserve"> I wasn’t sure which 4 or which 7 measures were being referred to. Can this be specified?</w:t>
      </w:r>
    </w:p>
    <w:p w14:paraId="49AF4C7A" w14:textId="6AEB6FE2" w:rsidR="00370BE2" w:rsidRDefault="00370BE2">
      <w:r>
        <w:t xml:space="preserve">Page 11: The exposition and recapitulation are both in </w:t>
      </w:r>
      <w:r w:rsidRPr="00370BE2">
        <w:rPr>
          <w:i/>
          <w:iCs/>
        </w:rPr>
        <w:t>aba</w:t>
      </w:r>
      <w:r w:rsidR="00CE4DDF" w:rsidRPr="00F51DFF">
        <w:rPr>
          <w:rFonts w:cs="Times New Roman"/>
          <w:i/>
          <w:iCs/>
        </w:rPr>
        <w:t>ʹ</w:t>
      </w:r>
      <w:r>
        <w:t xml:space="preserve"> form. The </w:t>
      </w:r>
      <w:r>
        <w:rPr>
          <w:i/>
          <w:iCs/>
        </w:rPr>
        <w:t>b</w:t>
      </w:r>
      <w:r>
        <w:t xml:space="preserve"> section is identical in both cases. In the exposition, the </w:t>
      </w:r>
      <w:r>
        <w:rPr>
          <w:i/>
          <w:iCs/>
        </w:rPr>
        <w:t>b</w:t>
      </w:r>
      <w:r>
        <w:t xml:space="preserve"> section ends with an HC</w:t>
      </w:r>
      <w:r w:rsidR="00F51DFF">
        <w:t xml:space="preserve">; the </w:t>
      </w:r>
      <w:r w:rsidR="00F51DFF">
        <w:rPr>
          <w:i/>
          <w:iCs/>
        </w:rPr>
        <w:t>a</w:t>
      </w:r>
      <w:r w:rsidR="00F51DFF" w:rsidRPr="00F51DFF">
        <w:rPr>
          <w:rFonts w:cs="Times New Roman"/>
          <w:i/>
          <w:iCs/>
        </w:rPr>
        <w:t>ʹ</w:t>
      </w:r>
      <w:r w:rsidR="00F51DFF">
        <w:rPr>
          <w:rFonts w:cs="Times New Roman"/>
          <w:i/>
          <w:iCs/>
        </w:rPr>
        <w:t xml:space="preserve"> </w:t>
      </w:r>
      <w:r w:rsidR="00F51DFF" w:rsidRPr="00F51DFF">
        <w:rPr>
          <w:rFonts w:cs="Times New Roman"/>
        </w:rPr>
        <w:t>section</w:t>
      </w:r>
      <w:r w:rsidR="00F51DFF">
        <w:t xml:space="preserve"> begins with a I harmony</w:t>
      </w:r>
      <w:r>
        <w:t>. In the recapitulation, the Author</w:t>
      </w:r>
      <w:r w:rsidR="00CE4DDF">
        <w:t xml:space="preserve"> joins the final V harmony of the </w:t>
      </w:r>
      <w:r w:rsidR="00CE4DDF">
        <w:rPr>
          <w:i/>
          <w:iCs/>
        </w:rPr>
        <w:t>b</w:t>
      </w:r>
      <w:r w:rsidR="00CE4DDF">
        <w:t xml:space="preserve"> section to the initial I harmony of the </w:t>
      </w:r>
      <w:r w:rsidR="00CE4DDF">
        <w:rPr>
          <w:i/>
          <w:iCs/>
        </w:rPr>
        <w:t>a</w:t>
      </w:r>
      <w:r w:rsidR="00CE4DDF" w:rsidRPr="00CE4DDF">
        <w:rPr>
          <w:rFonts w:cs="Times New Roman"/>
          <w:i/>
          <w:iCs/>
        </w:rPr>
        <w:t>ʹ</w:t>
      </w:r>
      <w:r w:rsidR="00CE4DDF">
        <w:t xml:space="preserve"> section</w:t>
      </w:r>
      <w:r w:rsidR="00F51DFF">
        <w:t xml:space="preserve"> to create a PAC, as addressed in footnote 10.</w:t>
      </w:r>
      <w:r w:rsidR="00AF2D68">
        <w:t xml:space="preserve"> I presume this is because there is no better candidate for a final authentic cadence</w:t>
      </w:r>
      <w:r w:rsidR="0085088A">
        <w:t>.</w:t>
      </w:r>
      <w:r w:rsidR="002A7279">
        <w:t xml:space="preserve"> But does there have to be a cadence at all?</w:t>
      </w:r>
      <w:r w:rsidR="004233AD">
        <w:t xml:space="preserve"> Perhaps the piece’s structural close occurs with a tonic arrival (analogous to Caplin’s dominant arrival)</w:t>
      </w:r>
      <w:r w:rsidR="00EF0242">
        <w:t xml:space="preserve"> that is followed by after-the-end material (post-</w:t>
      </w:r>
      <w:r w:rsidR="00F143C3">
        <w:t>“</w:t>
      </w:r>
      <w:r w:rsidR="00EF0242">
        <w:t>cadential</w:t>
      </w:r>
      <w:r w:rsidR="00F143C3">
        <w:t>”</w:t>
      </w:r>
      <w:r w:rsidR="00EF0242">
        <w:t xml:space="preserve"> but not post-</w:t>
      </w:r>
      <w:r w:rsidR="00EF0242">
        <w:rPr>
          <w:i/>
          <w:iCs/>
        </w:rPr>
        <w:t>cadential</w:t>
      </w:r>
      <w:r w:rsidR="00EF0242">
        <w:t>).</w:t>
      </w:r>
      <w:r w:rsidR="004A16A4">
        <w:t xml:space="preserve"> Alternatively, why cannot measure 80 be the final PAC? After</w:t>
      </w:r>
      <w:r w:rsidR="00520FFF">
        <w:t xml:space="preserve"> 7 measures of tonic pedal and prolongation, the bass line finally moves in measure 79: E-flat–D–G.</w:t>
      </w:r>
    </w:p>
    <w:p w14:paraId="093E4986" w14:textId="2267404E" w:rsidR="00C046FF" w:rsidRDefault="00C046FF" w:rsidP="00C046FF">
      <w:r>
        <w:t>Bibliography: Steven Vande Moortele should be listed under V</w:t>
      </w:r>
      <w:r w:rsidR="003B20C9">
        <w:t xml:space="preserve"> (Vande Moortele)</w:t>
      </w:r>
      <w:r w:rsidR="0020322D">
        <w:t>, not M</w:t>
      </w:r>
      <w:r w:rsidR="003B20C9">
        <w:t xml:space="preserve"> (Moortele)</w:t>
      </w:r>
      <w:r w:rsidR="0020322D">
        <w:t>.</w:t>
      </w:r>
    </w:p>
    <w:p w14:paraId="16291931" w14:textId="58FD51F7" w:rsidR="00C046FF" w:rsidRDefault="00C046FF" w:rsidP="00C046FF">
      <w:r>
        <w:t>Example 2: Add measure numbers to this form diagram. (The measure numbers should correspond to the score and not the Author’s R=½N interpretation.)</w:t>
      </w:r>
    </w:p>
    <w:p w14:paraId="19817318" w14:textId="60971B28" w:rsidR="00C046FF" w:rsidRDefault="00C046FF">
      <w:r>
        <w:t xml:space="preserve">Example 3a: The provided measure numbers are those of the </w:t>
      </w:r>
      <w:r>
        <w:rPr>
          <w:i/>
          <w:iCs/>
        </w:rPr>
        <w:t>example</w:t>
      </w:r>
      <w:r>
        <w:t xml:space="preserve">. Can the measure numbers instead reflect those of the </w:t>
      </w:r>
      <w:r>
        <w:rPr>
          <w:i/>
          <w:iCs/>
        </w:rPr>
        <w:t>score</w:t>
      </w:r>
      <w:r>
        <w:t>? Since the example replaces each common-time score measure with two 2/4 measures, perhaps the measure numbers could be 1a, 1b, 2a, 2b, and so forth</w:t>
      </w:r>
      <w:r w:rsidR="00145193">
        <w:t xml:space="preserve"> (but just 9, no a or b)</w:t>
      </w:r>
      <w:r>
        <w:t>. Thus, the first provided measure number 8, would be 4b, and the second provided measure number, 15, would be 8a.</w:t>
      </w:r>
      <w:r w:rsidR="009B2171">
        <w:br/>
      </w:r>
    </w:p>
    <w:p w14:paraId="20583DAB" w14:textId="765258E8" w:rsidR="009B2171" w:rsidRPr="00EF0242" w:rsidRDefault="00572D11">
      <w:r>
        <w:t>Congratulations on an excellent paper!</w:t>
      </w:r>
    </w:p>
    <w:sectPr w:rsidR="009B2171" w:rsidRPr="00EF0242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D8E929" w14:textId="77777777" w:rsidR="00340622" w:rsidRDefault="00340622" w:rsidP="009A31EC">
      <w:pPr>
        <w:spacing w:after="0" w:line="240" w:lineRule="auto"/>
      </w:pPr>
      <w:r>
        <w:separator/>
      </w:r>
    </w:p>
  </w:endnote>
  <w:endnote w:type="continuationSeparator" w:id="0">
    <w:p w14:paraId="27BE7000" w14:textId="77777777" w:rsidR="00340622" w:rsidRDefault="00340622" w:rsidP="009A3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664537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BA9AB0" w14:textId="6A3A4A43" w:rsidR="009A31EC" w:rsidRDefault="009A31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1F5036" w14:textId="77777777" w:rsidR="009A31EC" w:rsidRDefault="009A3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6CCDD8" w14:textId="77777777" w:rsidR="00340622" w:rsidRDefault="00340622" w:rsidP="009A31EC">
      <w:pPr>
        <w:spacing w:after="0" w:line="240" w:lineRule="auto"/>
      </w:pPr>
      <w:r>
        <w:separator/>
      </w:r>
    </w:p>
  </w:footnote>
  <w:footnote w:type="continuationSeparator" w:id="0">
    <w:p w14:paraId="758D138F" w14:textId="77777777" w:rsidR="00340622" w:rsidRDefault="00340622" w:rsidP="009A31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EC"/>
    <w:rsid w:val="000249CE"/>
    <w:rsid w:val="00054721"/>
    <w:rsid w:val="000562CF"/>
    <w:rsid w:val="000E109B"/>
    <w:rsid w:val="00142A49"/>
    <w:rsid w:val="00145193"/>
    <w:rsid w:val="00174D75"/>
    <w:rsid w:val="001D438F"/>
    <w:rsid w:val="0020322D"/>
    <w:rsid w:val="00257F2A"/>
    <w:rsid w:val="002A7279"/>
    <w:rsid w:val="00331E20"/>
    <w:rsid w:val="00340622"/>
    <w:rsid w:val="00370BE2"/>
    <w:rsid w:val="00384F39"/>
    <w:rsid w:val="00395420"/>
    <w:rsid w:val="003A337D"/>
    <w:rsid w:val="003B20C9"/>
    <w:rsid w:val="003B6114"/>
    <w:rsid w:val="0040290C"/>
    <w:rsid w:val="0041288A"/>
    <w:rsid w:val="004233AD"/>
    <w:rsid w:val="004321A6"/>
    <w:rsid w:val="00456100"/>
    <w:rsid w:val="00463C49"/>
    <w:rsid w:val="004864B6"/>
    <w:rsid w:val="004A16A4"/>
    <w:rsid w:val="004A57B6"/>
    <w:rsid w:val="00520FFF"/>
    <w:rsid w:val="00536589"/>
    <w:rsid w:val="00552332"/>
    <w:rsid w:val="005663C1"/>
    <w:rsid w:val="00572D11"/>
    <w:rsid w:val="00577A3A"/>
    <w:rsid w:val="005A081B"/>
    <w:rsid w:val="005D78F7"/>
    <w:rsid w:val="00603B15"/>
    <w:rsid w:val="00634E87"/>
    <w:rsid w:val="006930CB"/>
    <w:rsid w:val="006B7942"/>
    <w:rsid w:val="006F1529"/>
    <w:rsid w:val="007339E1"/>
    <w:rsid w:val="00776023"/>
    <w:rsid w:val="00782487"/>
    <w:rsid w:val="007B058A"/>
    <w:rsid w:val="00827B21"/>
    <w:rsid w:val="0085088A"/>
    <w:rsid w:val="008559FE"/>
    <w:rsid w:val="0086556B"/>
    <w:rsid w:val="008871C0"/>
    <w:rsid w:val="00895CDE"/>
    <w:rsid w:val="008C40EA"/>
    <w:rsid w:val="008E318D"/>
    <w:rsid w:val="008F5A88"/>
    <w:rsid w:val="00967247"/>
    <w:rsid w:val="009A31EC"/>
    <w:rsid w:val="009B2171"/>
    <w:rsid w:val="009C1DFD"/>
    <w:rsid w:val="009F3C55"/>
    <w:rsid w:val="00A0337A"/>
    <w:rsid w:val="00A17534"/>
    <w:rsid w:val="00A25CCF"/>
    <w:rsid w:val="00A27F89"/>
    <w:rsid w:val="00AA7360"/>
    <w:rsid w:val="00AC5E7C"/>
    <w:rsid w:val="00AD47D6"/>
    <w:rsid w:val="00AF2D68"/>
    <w:rsid w:val="00B0619D"/>
    <w:rsid w:val="00B43E48"/>
    <w:rsid w:val="00B57210"/>
    <w:rsid w:val="00BF45FE"/>
    <w:rsid w:val="00C046FF"/>
    <w:rsid w:val="00C123BB"/>
    <w:rsid w:val="00C334E4"/>
    <w:rsid w:val="00C4384D"/>
    <w:rsid w:val="00C758C2"/>
    <w:rsid w:val="00CC1AFB"/>
    <w:rsid w:val="00CE4DDF"/>
    <w:rsid w:val="00D551B5"/>
    <w:rsid w:val="00D85BB7"/>
    <w:rsid w:val="00DC746A"/>
    <w:rsid w:val="00E2500F"/>
    <w:rsid w:val="00E4584A"/>
    <w:rsid w:val="00E56688"/>
    <w:rsid w:val="00E5686A"/>
    <w:rsid w:val="00E763D0"/>
    <w:rsid w:val="00E80988"/>
    <w:rsid w:val="00E87E7E"/>
    <w:rsid w:val="00EB6007"/>
    <w:rsid w:val="00EE3CCF"/>
    <w:rsid w:val="00EF0242"/>
    <w:rsid w:val="00EF5CAC"/>
    <w:rsid w:val="00F143C3"/>
    <w:rsid w:val="00F51DFF"/>
    <w:rsid w:val="00FC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68A5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1E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3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1E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A3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1E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2024-09-22T14:28:00Z</dcterms:created>
  <dcterms:modified xsi:type="dcterms:W3CDTF">2024-09-22T14:28:00Z</dcterms:modified>
</cp:coreProperties>
</file>