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40C3EB" w14:textId="77777777" w:rsidR="009C7F49" w:rsidRPr="009C7F49" w:rsidRDefault="009C7F49" w:rsidP="009C7F49">
      <w:pPr>
        <w:spacing w:after="0"/>
        <w:rPr>
          <w:rFonts w:ascii="Calibri" w:eastAsia="Calibri" w:hAnsi="Calibri" w:cs="Times New Roman"/>
          <w:b/>
          <w:bCs/>
          <w:sz w:val="24"/>
          <w:szCs w:val="24"/>
          <w14:ligatures w14:val="none"/>
        </w:rPr>
      </w:pPr>
      <w:r w:rsidRPr="009C7F49">
        <w:rPr>
          <w:rFonts w:ascii="Calibri" w:eastAsia="Calibri" w:hAnsi="Calibri" w:cs="Times New Roman"/>
          <w:b/>
          <w:bCs/>
          <w:sz w:val="24"/>
          <w:szCs w:val="24"/>
          <w14:ligatures w14:val="none"/>
        </w:rPr>
        <w:t xml:space="preserve">Extra Measures in Rachmaninoff’s G-Minor Prelude, Op. 23, no. 5. </w:t>
      </w:r>
    </w:p>
    <w:p w14:paraId="57896ACC" w14:textId="77777777" w:rsidR="009C7F49" w:rsidRDefault="009C7F49" w:rsidP="009C7F49">
      <w:pPr>
        <w:spacing w:after="0"/>
        <w:rPr>
          <w:rFonts w:ascii="Calibri" w:eastAsia="Calibri" w:hAnsi="Calibri" w:cs="Times New Roman"/>
          <w:sz w:val="24"/>
          <w:szCs w:val="24"/>
          <w14:ligatures w14:val="none"/>
        </w:rPr>
      </w:pPr>
    </w:p>
    <w:p w14:paraId="5948C8BD" w14:textId="607A213B" w:rsidR="009C7F49" w:rsidRDefault="009C7F49" w:rsidP="009C7F49">
      <w:pPr>
        <w:spacing w:after="0"/>
        <w:rPr>
          <w:rFonts w:ascii="Calibri" w:eastAsia="Calibri" w:hAnsi="Calibri" w:cs="Times New Roman"/>
          <w:sz w:val="24"/>
          <w:szCs w:val="24"/>
          <w14:ligatures w14:val="none"/>
        </w:rPr>
      </w:pPr>
      <w:r>
        <w:rPr>
          <w:rFonts w:ascii="Calibri" w:eastAsia="Calibri" w:hAnsi="Calibri" w:cs="Times New Roman"/>
          <w:sz w:val="24"/>
          <w:szCs w:val="24"/>
          <w14:ligatures w14:val="none"/>
        </w:rPr>
        <w:t>Word count: 34</w:t>
      </w:r>
      <w:r w:rsidR="0021292C">
        <w:rPr>
          <w:rFonts w:ascii="Calibri" w:eastAsia="Calibri" w:hAnsi="Calibri" w:cs="Times New Roman"/>
          <w:sz w:val="24"/>
          <w:szCs w:val="24"/>
          <w14:ligatures w14:val="none"/>
        </w:rPr>
        <w:t>23</w:t>
      </w:r>
      <w:r>
        <w:rPr>
          <w:rFonts w:ascii="Calibri" w:eastAsia="Calibri" w:hAnsi="Calibri" w:cs="Times New Roman"/>
          <w:sz w:val="24"/>
          <w:szCs w:val="24"/>
          <w14:ligatures w14:val="none"/>
        </w:rPr>
        <w:t xml:space="preserve"> words (</w:t>
      </w:r>
      <w:r w:rsidR="00A43479" w:rsidRPr="00A43479">
        <w:rPr>
          <w:rFonts w:ascii="Calibri" w:eastAsia="Calibri" w:hAnsi="Calibri" w:cs="Times New Roman"/>
          <w:sz w:val="24"/>
          <w:szCs w:val="24"/>
          <w14:ligatures w14:val="none"/>
        </w:rPr>
        <w:t>not counting</w:t>
      </w:r>
      <w:r w:rsidRPr="00A43479">
        <w:rPr>
          <w:rFonts w:ascii="Calibri" w:eastAsia="Calibri" w:hAnsi="Calibri" w:cs="Times New Roman"/>
          <w:sz w:val="24"/>
          <w:szCs w:val="24"/>
          <w14:ligatures w14:val="none"/>
        </w:rPr>
        <w:t xml:space="preserve"> the</w:t>
      </w:r>
      <w:r>
        <w:rPr>
          <w:rFonts w:ascii="Calibri" w:eastAsia="Calibri" w:hAnsi="Calibri" w:cs="Times New Roman"/>
          <w:sz w:val="24"/>
          <w:szCs w:val="24"/>
          <w14:ligatures w14:val="none"/>
        </w:rPr>
        <w:t xml:space="preserve"> bibliography)</w:t>
      </w:r>
    </w:p>
    <w:p w14:paraId="3BA462A8" w14:textId="5EE02DC5" w:rsidR="009C7F49" w:rsidRDefault="009C7F49" w:rsidP="009C7F49">
      <w:pPr>
        <w:spacing w:after="0"/>
        <w:rPr>
          <w:rFonts w:ascii="Calibri" w:eastAsia="Calibri" w:hAnsi="Calibri" w:cs="Times New Roman"/>
          <w:sz w:val="24"/>
          <w:szCs w:val="24"/>
          <w14:ligatures w14:val="none"/>
        </w:rPr>
      </w:pPr>
      <w:r>
        <w:rPr>
          <w:rFonts w:ascii="Calibri" w:eastAsia="Calibri" w:hAnsi="Calibri" w:cs="Times New Roman"/>
          <w:sz w:val="24"/>
          <w:szCs w:val="24"/>
          <w14:ligatures w14:val="none"/>
        </w:rPr>
        <w:t xml:space="preserve"> </w:t>
      </w:r>
    </w:p>
    <w:p w14:paraId="2FA07938" w14:textId="77777777" w:rsidR="009C7F49" w:rsidRDefault="009C7F49" w:rsidP="009C7F49">
      <w:pPr>
        <w:spacing w:after="0"/>
        <w:rPr>
          <w:rFonts w:ascii="Calibri" w:eastAsia="Calibri" w:hAnsi="Calibri" w:cs="Times New Roman"/>
          <w:sz w:val="24"/>
          <w:szCs w:val="24"/>
          <w14:ligatures w14:val="none"/>
        </w:rPr>
      </w:pPr>
    </w:p>
    <w:p w14:paraId="4FFBA528" w14:textId="500AF5A5" w:rsidR="009C7F49" w:rsidRPr="009C7F49" w:rsidRDefault="009C7F49" w:rsidP="009C7F49">
      <w:pPr>
        <w:spacing w:after="0" w:line="480" w:lineRule="auto"/>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The title of this article alludes to Andrew </w:t>
      </w:r>
      <w:proofErr w:type="spellStart"/>
      <w:r w:rsidRPr="009C7F49">
        <w:rPr>
          <w:rFonts w:ascii="Calibri" w:eastAsia="Calibri" w:hAnsi="Calibri" w:cs="Times New Roman"/>
          <w:sz w:val="24"/>
          <w:szCs w:val="24"/>
          <w14:ligatures w14:val="none"/>
        </w:rPr>
        <w:t>Imbrie’s</w:t>
      </w:r>
      <w:proofErr w:type="spellEnd"/>
      <w:r w:rsidRPr="009C7F49">
        <w:rPr>
          <w:rFonts w:ascii="Calibri" w:eastAsia="Calibri" w:hAnsi="Calibri" w:cs="Times New Roman"/>
          <w:sz w:val="24"/>
          <w:szCs w:val="24"/>
          <w14:ligatures w14:val="none"/>
        </w:rPr>
        <w:t xml:space="preserve"> 1973 article “</w:t>
      </w:r>
      <w:r w:rsidR="001A0406">
        <w:rPr>
          <w:rFonts w:ascii="Calibri" w:eastAsia="Calibri" w:hAnsi="Calibri" w:cs="Times New Roman"/>
          <w:sz w:val="24"/>
          <w:szCs w:val="24"/>
          <w14:ligatures w14:val="none"/>
        </w:rPr>
        <w:t>’</w:t>
      </w:r>
      <w:r w:rsidRPr="009C7F49">
        <w:rPr>
          <w:rFonts w:ascii="Calibri" w:eastAsia="Calibri" w:hAnsi="Calibri" w:cs="Times New Roman"/>
          <w:sz w:val="24"/>
          <w:szCs w:val="24"/>
          <w14:ligatures w14:val="none"/>
        </w:rPr>
        <w:t>Extra</w:t>
      </w:r>
      <w:r w:rsidR="001A0406">
        <w:rPr>
          <w:rFonts w:ascii="Calibri" w:eastAsia="Calibri" w:hAnsi="Calibri" w:cs="Times New Roman"/>
          <w:sz w:val="24"/>
          <w:szCs w:val="24"/>
          <w14:ligatures w14:val="none"/>
        </w:rPr>
        <w:t>’</w:t>
      </w:r>
      <w:r w:rsidRPr="009C7F49">
        <w:rPr>
          <w:rFonts w:ascii="Calibri" w:eastAsia="Calibri" w:hAnsi="Calibri" w:cs="Times New Roman"/>
          <w:sz w:val="24"/>
          <w:szCs w:val="24"/>
          <w14:ligatures w14:val="none"/>
        </w:rPr>
        <w:t xml:space="preserve"> measures and metrical ambiguity in Beethoven.” </w:t>
      </w:r>
      <w:proofErr w:type="spellStart"/>
      <w:r w:rsidRPr="009C7F49">
        <w:rPr>
          <w:rFonts w:ascii="Calibri" w:eastAsia="Calibri" w:hAnsi="Calibri" w:cs="Times New Roman"/>
          <w:sz w:val="24"/>
          <w:szCs w:val="24"/>
          <w14:ligatures w14:val="none"/>
        </w:rPr>
        <w:t>Imbrie’s</w:t>
      </w:r>
      <w:proofErr w:type="spellEnd"/>
      <w:r w:rsidRPr="009C7F49">
        <w:rPr>
          <w:rFonts w:ascii="Calibri" w:eastAsia="Calibri" w:hAnsi="Calibri" w:cs="Times New Roman"/>
          <w:sz w:val="24"/>
          <w:szCs w:val="24"/>
          <w14:ligatures w14:val="none"/>
        </w:rPr>
        <w:t xml:space="preserve"> point is that, in movement 1 of the Fifth Symphony, after many regular four-bar </w:t>
      </w:r>
      <w:proofErr w:type="spellStart"/>
      <w:r w:rsidRPr="009C7F49">
        <w:rPr>
          <w:rFonts w:ascii="Calibri" w:eastAsia="Calibri" w:hAnsi="Calibri" w:cs="Times New Roman"/>
          <w:sz w:val="24"/>
          <w:szCs w:val="24"/>
          <w14:ligatures w14:val="none"/>
        </w:rPr>
        <w:t>hypermeasures</w:t>
      </w:r>
      <w:proofErr w:type="spellEnd"/>
      <w:r w:rsidRPr="009C7F49">
        <w:rPr>
          <w:rFonts w:ascii="Calibri" w:eastAsia="Calibri" w:hAnsi="Calibri" w:cs="Times New Roman"/>
          <w:sz w:val="24"/>
          <w:szCs w:val="24"/>
          <w14:ligatures w14:val="none"/>
        </w:rPr>
        <w:t xml:space="preserve">, Beethoven adds an extra bar towards the end of the development, so that the performer and the listener need to switch to a new hypermetrical pattern—from even-strong to odd-strong (terms by David </w:t>
      </w:r>
      <w:proofErr w:type="spellStart"/>
      <w:r w:rsidRPr="009C7F49">
        <w:rPr>
          <w:rFonts w:ascii="Calibri" w:eastAsia="Calibri" w:hAnsi="Calibri" w:cs="Times New Roman"/>
          <w:sz w:val="24"/>
          <w:szCs w:val="24"/>
          <w14:ligatures w14:val="none"/>
        </w:rPr>
        <w:t>Temperley</w:t>
      </w:r>
      <w:proofErr w:type="spellEnd"/>
      <w:r w:rsidRPr="009C7F49">
        <w:rPr>
          <w:rFonts w:ascii="Calibri" w:eastAsia="Calibri" w:hAnsi="Calibri" w:cs="Times New Roman"/>
          <w:sz w:val="24"/>
          <w:szCs w:val="24"/>
          <w14:ligatures w14:val="none"/>
        </w:rPr>
        <w:t xml:space="preserve"> 2008, meaning </w:t>
      </w:r>
      <w:r w:rsidR="001B7296">
        <w:rPr>
          <w:rFonts w:ascii="Calibri" w:eastAsia="Calibri" w:hAnsi="Calibri" w:cs="Times New Roman"/>
          <w:sz w:val="24"/>
          <w:szCs w:val="24"/>
          <w14:ligatures w14:val="none"/>
        </w:rPr>
        <w:t xml:space="preserve">a shift </w:t>
      </w:r>
      <w:r w:rsidRPr="009C7F49">
        <w:rPr>
          <w:rFonts w:ascii="Calibri" w:eastAsia="Calibri" w:hAnsi="Calibri" w:cs="Times New Roman"/>
          <w:sz w:val="24"/>
          <w:szCs w:val="24"/>
          <w14:ligatures w14:val="none"/>
        </w:rPr>
        <w:t xml:space="preserve">from strong even-numbered measures to strong odd-numbered ones;). Beethoven’s notated measures remain the same throughout, but the perceived hypermetric accent shifts. </w:t>
      </w:r>
    </w:p>
    <w:p w14:paraId="03FBDDC1" w14:textId="5249964C"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The situation in Rachmaninoff’s G-Minor Prelude (1901, published in 1904) is different: here, the </w:t>
      </w:r>
      <w:r w:rsidRPr="009C7F49">
        <w:rPr>
          <w:rFonts w:ascii="Calibri" w:eastAsia="Calibri" w:hAnsi="Calibri" w:cs="Times New Roman"/>
          <w:i/>
          <w:iCs/>
          <w:sz w:val="24"/>
          <w:szCs w:val="24"/>
          <w14:ligatures w14:val="none"/>
        </w:rPr>
        <w:t>notated</w:t>
      </w:r>
      <w:r w:rsidRPr="009C7F49">
        <w:rPr>
          <w:rFonts w:ascii="Calibri" w:eastAsia="Calibri" w:hAnsi="Calibri" w:cs="Times New Roman"/>
          <w:sz w:val="24"/>
          <w:szCs w:val="24"/>
          <w14:ligatures w14:val="none"/>
        </w:rPr>
        <w:t xml:space="preserve"> measure changes from 4/4 to 2/4, twice </w:t>
      </w:r>
      <w:proofErr w:type="gramStart"/>
      <w:r w:rsidRPr="009C7F49">
        <w:rPr>
          <w:rFonts w:ascii="Calibri" w:eastAsia="Calibri" w:hAnsi="Calibri" w:cs="Times New Roman"/>
          <w:sz w:val="24"/>
          <w:szCs w:val="24"/>
          <w14:ligatures w14:val="none"/>
        </w:rPr>
        <w:t>in the course of</w:t>
      </w:r>
      <w:proofErr w:type="gramEnd"/>
      <w:r w:rsidRPr="009C7F49">
        <w:rPr>
          <w:rFonts w:ascii="Calibri" w:eastAsia="Calibri" w:hAnsi="Calibri" w:cs="Times New Roman"/>
          <w:sz w:val="24"/>
          <w:szCs w:val="24"/>
          <w14:ligatures w14:val="none"/>
        </w:rPr>
        <w:t xml:space="preserve"> the piece; see mm. 9 and 16 in Example 1. The purpose of this paper is to show that, like the tip of an iceberg, this seemingly innocuous change of time signature is connected to a set of interrelated phrase-rhythmic and formal processes, invisible at first sight. </w:t>
      </w:r>
      <w:r w:rsidR="0078742A">
        <w:rPr>
          <w:rFonts w:ascii="Calibri" w:eastAsia="Calibri" w:hAnsi="Calibri" w:cs="Times New Roman"/>
          <w:sz w:val="24"/>
          <w:szCs w:val="24"/>
          <w14:ligatures w14:val="none"/>
        </w:rPr>
        <w:t xml:space="preserve">The extra beat, which produces the 2/4 measures, </w:t>
      </w:r>
      <w:r w:rsidRPr="009C7F49">
        <w:rPr>
          <w:rFonts w:ascii="Calibri" w:eastAsia="Calibri" w:hAnsi="Calibri" w:cs="Times New Roman"/>
          <w:sz w:val="24"/>
          <w:szCs w:val="24"/>
          <w14:ligatures w14:val="none"/>
        </w:rPr>
        <w:t>reveal</w:t>
      </w:r>
      <w:r w:rsidR="0078742A">
        <w:rPr>
          <w:rFonts w:ascii="Calibri" w:eastAsia="Calibri" w:hAnsi="Calibri" w:cs="Times New Roman"/>
          <w:sz w:val="24"/>
          <w:szCs w:val="24"/>
          <w14:ligatures w14:val="none"/>
        </w:rPr>
        <w:t>s</w:t>
      </w:r>
      <w:r w:rsidRPr="009C7F49">
        <w:rPr>
          <w:rFonts w:ascii="Calibri" w:eastAsia="Calibri" w:hAnsi="Calibri" w:cs="Times New Roman"/>
          <w:sz w:val="24"/>
          <w:szCs w:val="24"/>
          <w14:ligatures w14:val="none"/>
        </w:rPr>
        <w:t xml:space="preserve"> a lot about the piece:</w:t>
      </w:r>
      <w:r w:rsidR="00EC0B2B">
        <w:rPr>
          <w:rFonts w:ascii="Calibri" w:eastAsia="Calibri" w:hAnsi="Calibri" w:cs="Times New Roman"/>
          <w:sz w:val="24"/>
          <w:szCs w:val="24"/>
          <w14:ligatures w14:val="none"/>
        </w:rPr>
        <w:t xml:space="preserve"> how</w:t>
      </w:r>
      <w:r w:rsidRPr="009C7F49">
        <w:rPr>
          <w:rFonts w:ascii="Calibri" w:eastAsia="Calibri" w:hAnsi="Calibri" w:cs="Times New Roman"/>
          <w:sz w:val="24"/>
          <w:szCs w:val="24"/>
          <w14:ligatures w14:val="none"/>
        </w:rPr>
        <w:t xml:space="preserve"> the perceived (versus notated) measure</w:t>
      </w:r>
      <w:r w:rsidR="00EC0B2B">
        <w:rPr>
          <w:rFonts w:ascii="Calibri" w:eastAsia="Calibri" w:hAnsi="Calibri" w:cs="Times New Roman"/>
          <w:sz w:val="24"/>
          <w:szCs w:val="24"/>
          <w14:ligatures w14:val="none"/>
        </w:rPr>
        <w:t xml:space="preserve"> changes as the form unfolds</w:t>
      </w:r>
      <w:r w:rsidRPr="009C7F49">
        <w:rPr>
          <w:rFonts w:ascii="Calibri" w:eastAsia="Calibri" w:hAnsi="Calibri" w:cs="Times New Roman"/>
          <w:sz w:val="24"/>
          <w:szCs w:val="24"/>
          <w14:ligatures w14:val="none"/>
        </w:rPr>
        <w:t xml:space="preserve">; how phrase-structural asymmetry engenders multiple ways to hear metrical shifts; and how these shifts relate to formal functionality and formal </w:t>
      </w:r>
      <w:r w:rsidRPr="009C7F49">
        <w:rPr>
          <w:rFonts w:ascii="Calibri" w:eastAsia="Calibri" w:hAnsi="Calibri" w:cs="Times New Roman"/>
          <w:i/>
          <w:iCs/>
          <w:sz w:val="24"/>
          <w:szCs w:val="24"/>
          <w14:ligatures w14:val="none"/>
        </w:rPr>
        <w:t>becoming</w:t>
      </w:r>
      <w:r w:rsidRPr="009C7F49">
        <w:rPr>
          <w:rFonts w:ascii="Calibri" w:eastAsia="Calibri" w:hAnsi="Calibri" w:cs="Times New Roman"/>
          <w:sz w:val="24"/>
          <w:szCs w:val="24"/>
          <w14:ligatures w14:val="none"/>
        </w:rPr>
        <w:t xml:space="preserve"> in Janet Schmalfeldt’s sense. More specifically, I offer one possible reading of the opening section (four-square phrases framed by non-thematic material) and what happens with it in the recapitulation, which simultaneously resolves metrical ambiguities posed earlier and creates new ambiguities of formal function. I also suggest a possible re-notation of bar lines as an </w:t>
      </w:r>
      <w:r w:rsidRPr="009C7F49">
        <w:rPr>
          <w:rFonts w:ascii="Calibri" w:eastAsia="Calibri" w:hAnsi="Calibri" w:cs="Times New Roman"/>
          <w:sz w:val="24"/>
          <w:szCs w:val="24"/>
          <w14:ligatures w14:val="none"/>
        </w:rPr>
        <w:lastRenderedPageBreak/>
        <w:t xml:space="preserve">alternative reading of the metrical irregularity. The terminology I use in form analysis is William Caplin’s (1998 and 2013). </w:t>
      </w:r>
    </w:p>
    <w:p w14:paraId="7076F001" w14:textId="77BC7E13"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My more general objective is to reinforce the urge of several theorists of meter (among them Lerdahl and </w:t>
      </w:r>
      <w:proofErr w:type="spellStart"/>
      <w:r w:rsidRPr="009C7F49">
        <w:rPr>
          <w:rFonts w:ascii="Calibri" w:eastAsia="Calibri" w:hAnsi="Calibri" w:cs="Times New Roman"/>
          <w:sz w:val="24"/>
          <w:szCs w:val="24"/>
          <w14:ligatures w14:val="none"/>
        </w:rPr>
        <w:t>Jackendoff</w:t>
      </w:r>
      <w:proofErr w:type="spellEnd"/>
      <w:r w:rsidRPr="009C7F49">
        <w:rPr>
          <w:rFonts w:ascii="Calibri" w:eastAsia="Calibri" w:hAnsi="Calibri" w:cs="Times New Roman"/>
          <w:sz w:val="24"/>
          <w:szCs w:val="24"/>
          <w14:ligatures w14:val="none"/>
        </w:rPr>
        <w:t xml:space="preserve">, whose metrical preference rules are aimed at musical signals as opposed to notation; and William Rothstein, especially 1995 and 2008) to think beyond ostensible bar lines, and </w:t>
      </w:r>
      <w:r w:rsidRPr="009C7F49">
        <w:rPr>
          <w:rFonts w:ascii="Calibri" w:eastAsia="Calibri" w:hAnsi="Calibri" w:cs="Times New Roman"/>
          <w:i/>
          <w:iCs/>
          <w:sz w:val="24"/>
          <w:szCs w:val="24"/>
          <w14:ligatures w14:val="none"/>
        </w:rPr>
        <w:t>not</w:t>
      </w:r>
      <w:r w:rsidRPr="009C7F49">
        <w:rPr>
          <w:rFonts w:ascii="Calibri" w:eastAsia="Calibri" w:hAnsi="Calibri" w:cs="Times New Roman"/>
          <w:sz w:val="24"/>
          <w:szCs w:val="24"/>
          <w14:ligatures w14:val="none"/>
        </w:rPr>
        <w:t xml:space="preserve"> take them at face value as simple and indisputable facts. An attempt to find the origin of a metrical anomaly may lead to a deeper understanding of the piece’s internal workings. A secondary objective is to explore how Rachmaninoff creatively transforms formal structures </w:t>
      </w:r>
      <w:r w:rsidR="00425BCA">
        <w:rPr>
          <w:rFonts w:ascii="Calibri" w:eastAsia="Calibri" w:hAnsi="Calibri" w:cs="Times New Roman"/>
          <w:sz w:val="24"/>
          <w:szCs w:val="24"/>
          <w14:ligatures w14:val="none"/>
        </w:rPr>
        <w:t xml:space="preserve">(such as the period and the ternary form) </w:t>
      </w:r>
      <w:r w:rsidRPr="009C7F49">
        <w:rPr>
          <w:rFonts w:ascii="Calibri" w:eastAsia="Calibri" w:hAnsi="Calibri" w:cs="Times New Roman"/>
          <w:sz w:val="24"/>
          <w:szCs w:val="24"/>
          <w14:ligatures w14:val="none"/>
        </w:rPr>
        <w:t>which originate in late 18</w:t>
      </w:r>
      <w:r w:rsidRPr="009C7F49">
        <w:rPr>
          <w:rFonts w:ascii="Calibri" w:eastAsia="Calibri" w:hAnsi="Calibri" w:cs="Times New Roman"/>
          <w:sz w:val="24"/>
          <w:szCs w:val="24"/>
          <w:vertAlign w:val="superscript"/>
          <w14:ligatures w14:val="none"/>
        </w:rPr>
        <w:t>th</w:t>
      </w:r>
      <w:r w:rsidRPr="009C7F49">
        <w:rPr>
          <w:rFonts w:ascii="Calibri" w:eastAsia="Calibri" w:hAnsi="Calibri" w:cs="Times New Roman"/>
          <w:sz w:val="24"/>
          <w:szCs w:val="24"/>
          <w14:ligatures w14:val="none"/>
        </w:rPr>
        <w:t xml:space="preserve">-century practice, </w:t>
      </w:r>
      <w:r w:rsidR="00425BCA">
        <w:rPr>
          <w:rFonts w:ascii="Calibri" w:eastAsia="Calibri" w:hAnsi="Calibri" w:cs="Times New Roman"/>
          <w:sz w:val="24"/>
          <w:szCs w:val="24"/>
          <w14:ligatures w14:val="none"/>
        </w:rPr>
        <w:t xml:space="preserve">and which </w:t>
      </w:r>
      <w:r w:rsidRPr="009C7F49">
        <w:rPr>
          <w:rFonts w:ascii="Calibri" w:eastAsia="Calibri" w:hAnsi="Calibri" w:cs="Times New Roman"/>
          <w:sz w:val="24"/>
          <w:szCs w:val="24"/>
          <w14:ligatures w14:val="none"/>
        </w:rPr>
        <w:t xml:space="preserve">he had internalized during his studies (1888–92) at the Moscow Conservatory. This task is </w:t>
      </w:r>
      <w:r w:rsidR="00395D33">
        <w:rPr>
          <w:rFonts w:ascii="Calibri" w:eastAsia="Calibri" w:hAnsi="Calibri" w:cs="Times New Roman"/>
          <w:sz w:val="24"/>
          <w:szCs w:val="24"/>
          <w14:ligatures w14:val="none"/>
        </w:rPr>
        <w:t xml:space="preserve">inspired by </w:t>
      </w:r>
      <w:r w:rsidRPr="009C7F49">
        <w:rPr>
          <w:rFonts w:ascii="Calibri" w:eastAsia="Calibri" w:hAnsi="Calibri" w:cs="Times New Roman"/>
          <w:sz w:val="24"/>
          <w:szCs w:val="24"/>
          <w14:ligatures w14:val="none"/>
        </w:rPr>
        <w:t xml:space="preserve">the recent efforts </w:t>
      </w:r>
      <w:r w:rsidR="00395D33">
        <w:rPr>
          <w:rFonts w:ascii="Calibri" w:eastAsia="Calibri" w:hAnsi="Calibri" w:cs="Times New Roman"/>
          <w:sz w:val="24"/>
          <w:szCs w:val="24"/>
          <w14:ligatures w14:val="none"/>
        </w:rPr>
        <w:t>of</w:t>
      </w:r>
      <w:r w:rsidRPr="009C7F49">
        <w:rPr>
          <w:rFonts w:ascii="Calibri" w:eastAsia="Calibri" w:hAnsi="Calibri" w:cs="Times New Roman"/>
          <w:sz w:val="24"/>
          <w:szCs w:val="24"/>
          <w14:ligatures w14:val="none"/>
        </w:rPr>
        <w:t xml:space="preserve"> </w:t>
      </w:r>
      <w:r w:rsidRPr="009C7F49">
        <w:rPr>
          <w:rFonts w:ascii="Calibri" w:eastAsia="Calibri" w:hAnsi="Calibri" w:cs="Times New Roman"/>
          <w:i/>
          <w:iCs/>
          <w:sz w:val="24"/>
          <w:szCs w:val="24"/>
          <w14:ligatures w14:val="none"/>
        </w:rPr>
        <w:t>Formenlehre</w:t>
      </w:r>
      <w:r w:rsidRPr="009C7F49">
        <w:rPr>
          <w:rFonts w:ascii="Calibri" w:eastAsia="Calibri" w:hAnsi="Calibri" w:cs="Times New Roman"/>
          <w:sz w:val="24"/>
          <w:szCs w:val="24"/>
          <w14:ligatures w14:val="none"/>
        </w:rPr>
        <w:t xml:space="preserve"> theorists (especially Julian Horton, 2015, and Steven Vande </w:t>
      </w:r>
      <w:proofErr w:type="spellStart"/>
      <w:r w:rsidRPr="009C7F49">
        <w:rPr>
          <w:rFonts w:ascii="Calibri" w:eastAsia="Calibri" w:hAnsi="Calibri" w:cs="Times New Roman"/>
          <w:sz w:val="24"/>
          <w:szCs w:val="24"/>
          <w14:ligatures w14:val="none"/>
        </w:rPr>
        <w:t>Moortele</w:t>
      </w:r>
      <w:proofErr w:type="spellEnd"/>
      <w:r w:rsidRPr="009C7F49">
        <w:rPr>
          <w:rFonts w:ascii="Calibri" w:eastAsia="Calibri" w:hAnsi="Calibri" w:cs="Times New Roman"/>
          <w:sz w:val="24"/>
          <w:szCs w:val="24"/>
          <w14:ligatures w14:val="none"/>
        </w:rPr>
        <w:t xml:space="preserve">, 2013) to explore questions of applicability of Classical formal taxonomies to post-Classical music. </w:t>
      </w:r>
    </w:p>
    <w:p w14:paraId="1DE24DBA" w14:textId="77777777"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First, a brief overview of the prelude’s form is in order. (I will return to the large-scale form at the end of this article.) Example 2</w:t>
      </w:r>
      <w:r w:rsidRPr="009C7F49">
        <w:rPr>
          <w:rFonts w:ascii="Calibri" w:eastAsia="Calibri" w:hAnsi="Calibri" w:cs="Times New Roman"/>
          <w:i/>
          <w:iCs/>
          <w:sz w:val="24"/>
          <w:szCs w:val="24"/>
          <w14:ligatures w14:val="none"/>
        </w:rPr>
        <w:t xml:space="preserve"> </w:t>
      </w:r>
      <w:r w:rsidRPr="009C7F49">
        <w:rPr>
          <w:rFonts w:ascii="Calibri" w:eastAsia="Calibri" w:hAnsi="Calibri" w:cs="Times New Roman"/>
          <w:sz w:val="24"/>
          <w:szCs w:val="24"/>
          <w14:ligatures w14:val="none"/>
        </w:rPr>
        <w:t>shows a ternary form or ABA’, where the large-scale A section is itself a small ternary with a truncated recapitulation. Henceforth, I will refer to the different levels of form as A and B at the large scale, and “a” and “b” at the small scale.</w:t>
      </w:r>
    </w:p>
    <w:p w14:paraId="7D30A27E" w14:textId="77777777"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The two anomalous 2/4 measures are confined to the “a” section, on which I will now focus. As a first step, let’s disentangle the length of the perceived measure. The very fact that a 2/4 bar occurs </w:t>
      </w:r>
      <w:proofErr w:type="gramStart"/>
      <w:r w:rsidRPr="009C7F49">
        <w:rPr>
          <w:rFonts w:ascii="Calibri" w:eastAsia="Calibri" w:hAnsi="Calibri" w:cs="Times New Roman"/>
          <w:sz w:val="24"/>
          <w:szCs w:val="24"/>
          <w14:ligatures w14:val="none"/>
        </w:rPr>
        <w:t>in the midst of</w:t>
      </w:r>
      <w:proofErr w:type="gramEnd"/>
      <w:r w:rsidRPr="009C7F49">
        <w:rPr>
          <w:rFonts w:ascii="Calibri" w:eastAsia="Calibri" w:hAnsi="Calibri" w:cs="Times New Roman"/>
          <w:sz w:val="24"/>
          <w:szCs w:val="24"/>
          <w14:ligatures w14:val="none"/>
        </w:rPr>
        <w:t xml:space="preserve"> a 4/4 piece suggests that the half-note might be the dominant metrical unit in the A and A’ sections, which therefore could be notated in 2/4 throughout. This hearing is confirmed in the notated mm. 3–4 (debatably the fragmentation area of a sentence), </w:t>
      </w:r>
      <w:r w:rsidRPr="009C7F49">
        <w:rPr>
          <w:rFonts w:ascii="Calibri" w:eastAsia="Calibri" w:hAnsi="Calibri" w:cs="Times New Roman"/>
          <w:sz w:val="24"/>
          <w:szCs w:val="24"/>
          <w14:ligatures w14:val="none"/>
        </w:rPr>
        <w:lastRenderedPageBreak/>
        <w:t xml:space="preserve">where the repeated rhythmic motive sixteenth–sixteenth–dotted-quarter takes exactly one half-note. In other words, the real measure equals two notated measures (R = ½ N), to use Caplin’s terms (2013, 63–64). This suggests the eighteenth-century notion of compound measure (see Floyd Grave 1985), where the notated measure represents two perceived measures. While I do not insist that the R = ½ N is the “right” way hear it, I do encourage the reader to focus on the half-note as a basic metrical beat, no matter how many bar lines one wishes to have. Lerdahl and </w:t>
      </w:r>
      <w:proofErr w:type="spellStart"/>
      <w:r w:rsidRPr="009C7F49">
        <w:rPr>
          <w:rFonts w:ascii="Calibri" w:eastAsia="Calibri" w:hAnsi="Calibri" w:cs="Times New Roman"/>
          <w:sz w:val="24"/>
          <w:szCs w:val="24"/>
          <w14:ligatures w14:val="none"/>
        </w:rPr>
        <w:t>Jackendoff’s</w:t>
      </w:r>
      <w:proofErr w:type="spellEnd"/>
      <w:r w:rsidRPr="009C7F49">
        <w:rPr>
          <w:rFonts w:ascii="Calibri" w:eastAsia="Calibri" w:hAnsi="Calibri" w:cs="Times New Roman"/>
          <w:sz w:val="24"/>
          <w:szCs w:val="24"/>
          <w14:ligatures w14:val="none"/>
        </w:rPr>
        <w:t xml:space="preserve"> concept of the </w:t>
      </w:r>
      <w:r w:rsidRPr="009C7F49">
        <w:rPr>
          <w:rFonts w:ascii="Calibri" w:eastAsia="Calibri" w:hAnsi="Calibri" w:cs="Times New Roman"/>
          <w:i/>
          <w:iCs/>
          <w:sz w:val="24"/>
          <w:szCs w:val="24"/>
          <w14:ligatures w14:val="none"/>
        </w:rPr>
        <w:t>tactus</w:t>
      </w:r>
      <w:r w:rsidRPr="009C7F49">
        <w:rPr>
          <w:rFonts w:ascii="Calibri" w:eastAsia="Calibri" w:hAnsi="Calibri" w:cs="Times New Roman"/>
          <w:sz w:val="24"/>
          <w:szCs w:val="24"/>
          <w14:ligatures w14:val="none"/>
        </w:rPr>
        <w:t>, perhaps, best describes the idea.</w:t>
      </w:r>
      <w:r w:rsidRPr="009C7F49">
        <w:rPr>
          <w:rFonts w:ascii="Calibri" w:eastAsia="Calibri" w:hAnsi="Calibri" w:cs="Times New Roman"/>
          <w:sz w:val="24"/>
          <w:szCs w:val="24"/>
          <w:vertAlign w:val="superscript"/>
          <w14:ligatures w14:val="none"/>
        </w:rPr>
        <w:footnoteReference w:id="1"/>
      </w:r>
    </w:p>
    <w:p w14:paraId="4DD6A665" w14:textId="7293BE34"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With the basic half-note beat in mind, I now turn to questions of phrase structure and form. The two anomalous 2/4 measures signify an uneven number of half-note beats. In its turn, </w:t>
      </w:r>
      <w:r w:rsidRPr="009C7F49">
        <w:rPr>
          <w:rFonts w:ascii="Calibri" w:eastAsia="Calibri" w:hAnsi="Calibri" w:cs="Times New Roman"/>
          <w:i/>
          <w:iCs/>
          <w:sz w:val="24"/>
          <w:szCs w:val="24"/>
          <w14:ligatures w14:val="none"/>
        </w:rPr>
        <w:t xml:space="preserve">this </w:t>
      </w:r>
      <w:r w:rsidRPr="009C7F49">
        <w:rPr>
          <w:rFonts w:ascii="Calibri" w:eastAsia="Calibri" w:hAnsi="Calibri" w:cs="Times New Roman"/>
          <w:sz w:val="24"/>
          <w:szCs w:val="24"/>
          <w14:ligatures w14:val="none"/>
        </w:rPr>
        <w:t>can signify two things: either some the phrases are inherently asymmetrical, or symmetrical phrases have been shifted with respect to an underlying regularity. The former option is not uncommon in Rachmaninoff. Some examples of his most asymmetrical phrases and unpredictably changing meter signature come in pieces that stylistically reference Russian folk or church music.</w:t>
      </w:r>
      <w:r w:rsidRPr="009C7F49">
        <w:rPr>
          <w:rFonts w:ascii="Calibri" w:eastAsia="Calibri" w:hAnsi="Calibri" w:cs="Times New Roman"/>
          <w:sz w:val="24"/>
          <w:szCs w:val="24"/>
          <w:vertAlign w:val="superscript"/>
          <w14:ligatures w14:val="none"/>
        </w:rPr>
        <w:footnoteReference w:id="2"/>
      </w:r>
      <w:r w:rsidRPr="009C7F49">
        <w:rPr>
          <w:rFonts w:ascii="Calibri" w:eastAsia="Calibri" w:hAnsi="Calibri" w:cs="Times New Roman"/>
          <w:sz w:val="24"/>
          <w:szCs w:val="24"/>
          <w14:ligatures w14:val="none"/>
        </w:rPr>
        <w:t xml:space="preserve"> But the G-minor prelude’s march topic (see the </w:t>
      </w:r>
      <w:proofErr w:type="spellStart"/>
      <w:r w:rsidRPr="009C7F49">
        <w:rPr>
          <w:rFonts w:ascii="Calibri" w:eastAsia="Calibri" w:hAnsi="Calibri" w:cs="Times New Roman"/>
          <w:i/>
          <w:iCs/>
          <w:sz w:val="24"/>
          <w:szCs w:val="24"/>
          <w14:ligatures w14:val="none"/>
        </w:rPr>
        <w:t>alla</w:t>
      </w:r>
      <w:proofErr w:type="spellEnd"/>
      <w:r w:rsidRPr="009C7F49">
        <w:rPr>
          <w:rFonts w:ascii="Calibri" w:eastAsia="Calibri" w:hAnsi="Calibri" w:cs="Times New Roman"/>
          <w:i/>
          <w:iCs/>
          <w:sz w:val="24"/>
          <w:szCs w:val="24"/>
          <w14:ligatures w14:val="none"/>
        </w:rPr>
        <w:t xml:space="preserve"> marcia</w:t>
      </w:r>
      <w:r w:rsidRPr="009C7F49">
        <w:rPr>
          <w:rFonts w:ascii="Calibri" w:eastAsia="Calibri" w:hAnsi="Calibri" w:cs="Times New Roman"/>
          <w:sz w:val="24"/>
          <w:szCs w:val="24"/>
          <w14:ligatures w14:val="none"/>
        </w:rPr>
        <w:t xml:space="preserve"> marking)</w:t>
      </w:r>
      <w:r w:rsidR="008B5A33">
        <w:rPr>
          <w:rStyle w:val="FootnoteReference"/>
          <w:rFonts w:ascii="Calibri" w:eastAsia="Calibri" w:hAnsi="Calibri" w:cs="Times New Roman"/>
          <w:sz w:val="24"/>
          <w:szCs w:val="24"/>
          <w14:ligatures w14:val="none"/>
        </w:rPr>
        <w:footnoteReference w:id="3"/>
      </w:r>
      <w:r w:rsidRPr="009C7F49">
        <w:rPr>
          <w:rFonts w:ascii="Calibri" w:eastAsia="Calibri" w:hAnsi="Calibri" w:cs="Times New Roman"/>
          <w:sz w:val="24"/>
          <w:szCs w:val="24"/>
          <w14:ligatures w14:val="none"/>
        </w:rPr>
        <w:t xml:space="preserve">, as well as its rhythmically repetitive character, suggest the second possibility—that the piece might have an underlying symmetrical structure. The next few paragraphs will prove that this is a fruitful idea. But first we need to ask this: what </w:t>
      </w:r>
      <w:r w:rsidRPr="009C7F49">
        <w:rPr>
          <w:rFonts w:ascii="Calibri" w:eastAsia="Calibri" w:hAnsi="Calibri" w:cs="Times New Roman"/>
          <w:i/>
          <w:iCs/>
          <w:sz w:val="24"/>
          <w:szCs w:val="24"/>
          <w14:ligatures w14:val="none"/>
        </w:rPr>
        <w:t>is</w:t>
      </w:r>
      <w:r w:rsidRPr="009C7F49">
        <w:rPr>
          <w:rFonts w:ascii="Calibri" w:eastAsia="Calibri" w:hAnsi="Calibri" w:cs="Times New Roman"/>
          <w:sz w:val="24"/>
          <w:szCs w:val="24"/>
          <w14:ligatures w14:val="none"/>
        </w:rPr>
        <w:t xml:space="preserve"> the phrase in the opening sixteen measures? </w:t>
      </w:r>
      <w:r w:rsidRPr="009C7F49">
        <w:rPr>
          <w:rFonts w:ascii="Calibri" w:eastAsia="Calibri" w:hAnsi="Calibri" w:cs="Times New Roman"/>
          <w:sz w:val="24"/>
          <w:szCs w:val="24"/>
          <w14:ligatures w14:val="none"/>
        </w:rPr>
        <w:lastRenderedPageBreak/>
        <w:t>Their overall form is period</w:t>
      </w:r>
      <w:r>
        <w:rPr>
          <w:rFonts w:ascii="Calibri" w:eastAsia="Calibri" w:hAnsi="Calibri" w:cs="Times New Roman"/>
          <w:sz w:val="24"/>
          <w:szCs w:val="24"/>
          <w14:ligatures w14:val="none"/>
        </w:rPr>
        <w:t>ic, where the</w:t>
      </w:r>
      <w:r w:rsidRPr="009C7F49">
        <w:rPr>
          <w:rFonts w:ascii="Calibri" w:eastAsia="Calibri" w:hAnsi="Calibri" w:cs="Times New Roman"/>
          <w:sz w:val="24"/>
          <w:szCs w:val="24"/>
          <w14:ligatures w14:val="none"/>
        </w:rPr>
        <w:t xml:space="preserve"> antecedent takes up mm. 1–9 (HC in G minor) and the consequent mm. 10–16 (PAC)</w:t>
      </w:r>
      <w:r w:rsidR="00456753">
        <w:rPr>
          <w:rFonts w:ascii="Calibri" w:eastAsia="Calibri" w:hAnsi="Calibri" w:cs="Times New Roman"/>
          <w:sz w:val="24"/>
          <w:szCs w:val="24"/>
          <w14:ligatures w14:val="none"/>
        </w:rPr>
        <w:t>, although the antecedent’s cadence is somewhat compromised with respect to classical/ early-Romantic norms</w:t>
      </w:r>
      <w:r w:rsidRPr="009C7F49">
        <w:rPr>
          <w:rFonts w:ascii="Calibri" w:eastAsia="Calibri" w:hAnsi="Calibri" w:cs="Times New Roman"/>
          <w:sz w:val="24"/>
          <w:szCs w:val="24"/>
          <w14:ligatures w14:val="none"/>
        </w:rPr>
        <w:t>.</w:t>
      </w:r>
      <w:r w:rsidRPr="009C7F49">
        <w:rPr>
          <w:rFonts w:ascii="Calibri" w:eastAsia="Calibri" w:hAnsi="Calibri" w:cs="Times New Roman"/>
          <w:sz w:val="24"/>
          <w:szCs w:val="24"/>
          <w:vertAlign w:val="superscript"/>
          <w14:ligatures w14:val="none"/>
        </w:rPr>
        <w:footnoteReference w:id="4"/>
      </w:r>
      <w:r w:rsidRPr="009C7F49">
        <w:rPr>
          <w:rFonts w:ascii="Calibri" w:eastAsia="Calibri" w:hAnsi="Calibri" w:cs="Times New Roman"/>
          <w:sz w:val="24"/>
          <w:szCs w:val="24"/>
          <w14:ligatures w14:val="none"/>
        </w:rPr>
        <w:t xml:space="preserve"> But how are the antecedent and the consequent organized internally? </w:t>
      </w:r>
    </w:p>
    <w:p w14:paraId="3EBA5CD0" w14:textId="77777777"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The question yields no automatic answer, and the reason lies in the curious lack of melodic material per se. This becomes clear if one attempts to sing the beginning: it is not easy to understand which </w:t>
      </w:r>
      <w:r w:rsidRPr="009C7F49">
        <w:rPr>
          <w:rFonts w:ascii="Calibri" w:eastAsia="Calibri" w:hAnsi="Calibri" w:cs="Times New Roman"/>
          <w:i/>
          <w:iCs/>
          <w:sz w:val="24"/>
          <w:szCs w:val="24"/>
          <w14:ligatures w14:val="none"/>
        </w:rPr>
        <w:t>melodic</w:t>
      </w:r>
      <w:r w:rsidRPr="009C7F49">
        <w:rPr>
          <w:rFonts w:ascii="Calibri" w:eastAsia="Calibri" w:hAnsi="Calibri" w:cs="Times New Roman"/>
          <w:sz w:val="24"/>
          <w:szCs w:val="24"/>
          <w14:ligatures w14:val="none"/>
        </w:rPr>
        <w:t xml:space="preserve"> idea defines the prelude, although it is very clear which </w:t>
      </w:r>
      <w:r w:rsidRPr="009C7F49">
        <w:rPr>
          <w:rFonts w:ascii="Calibri" w:eastAsia="Calibri" w:hAnsi="Calibri" w:cs="Times New Roman"/>
          <w:i/>
          <w:iCs/>
          <w:sz w:val="24"/>
          <w:szCs w:val="24"/>
          <w14:ligatures w14:val="none"/>
        </w:rPr>
        <w:t>textural</w:t>
      </w:r>
      <w:r w:rsidRPr="009C7F49">
        <w:rPr>
          <w:rFonts w:ascii="Calibri" w:eastAsia="Calibri" w:hAnsi="Calibri" w:cs="Times New Roman"/>
          <w:sz w:val="24"/>
          <w:szCs w:val="24"/>
          <w14:ligatures w14:val="none"/>
        </w:rPr>
        <w:t xml:space="preserve"> and </w:t>
      </w:r>
      <w:r w:rsidRPr="009C7F49">
        <w:rPr>
          <w:rFonts w:ascii="Calibri" w:eastAsia="Calibri" w:hAnsi="Calibri" w:cs="Times New Roman"/>
          <w:i/>
          <w:iCs/>
          <w:sz w:val="24"/>
          <w:szCs w:val="24"/>
          <w14:ligatures w14:val="none"/>
        </w:rPr>
        <w:t>rhythmic</w:t>
      </w:r>
      <w:r w:rsidRPr="009C7F49">
        <w:rPr>
          <w:rFonts w:ascii="Calibri" w:eastAsia="Calibri" w:hAnsi="Calibri" w:cs="Times New Roman"/>
          <w:sz w:val="24"/>
          <w:szCs w:val="24"/>
          <w14:ligatures w14:val="none"/>
        </w:rPr>
        <w:t xml:space="preserve"> patterns define it: the low arpeggiated bass segment and the mid-register chords with two sixteenths and an eighth. And yet, to analyze form, one needs to decide on the local form-functional beginning—that is, the basic idea (and this is as much an analytical as it is a performance decision). There are two options: the basic idea enters either in m. 1 (melodic line in the lowest register) or in the middle of m. 3 (melodic line D-F-G in the middle register). I choose the latter option, thus rendering the preceding music a local introduction (Caplin’s “thematic introduction, or Rothstein’s “prefix”). </w:t>
      </w:r>
    </w:p>
    <w:p w14:paraId="0E877587" w14:textId="2616951E"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lastRenderedPageBreak/>
        <w:t xml:space="preserve">Since my overall argument depends on the form of this section, the relative advantages of the two readings deserve closer attention. The advantages of the </w:t>
      </w:r>
      <w:proofErr w:type="spellStart"/>
      <w:r w:rsidRPr="009C7F49">
        <w:rPr>
          <w:rFonts w:ascii="Calibri" w:eastAsia="Calibri" w:hAnsi="Calibri" w:cs="Times New Roman"/>
          <w:sz w:val="24"/>
          <w:szCs w:val="24"/>
          <w14:ligatures w14:val="none"/>
        </w:rPr>
        <w:t>b.i</w:t>
      </w:r>
      <w:proofErr w:type="spellEnd"/>
      <w:r w:rsidRPr="009C7F49">
        <w:rPr>
          <w:rFonts w:ascii="Calibri" w:eastAsia="Calibri" w:hAnsi="Calibri" w:cs="Times New Roman"/>
          <w:sz w:val="24"/>
          <w:szCs w:val="24"/>
          <w14:ligatures w14:val="none"/>
        </w:rPr>
        <w:t>. in m. 3 include phrase-rhythmic symmetry and form-functional efficiency of section “a” (to be shown soon), the line’s relative “</w:t>
      </w:r>
      <w:proofErr w:type="spellStart"/>
      <w:r w:rsidRPr="009C7F49">
        <w:rPr>
          <w:rFonts w:ascii="Calibri" w:eastAsia="Calibri" w:hAnsi="Calibri" w:cs="Times New Roman"/>
          <w:sz w:val="24"/>
          <w:szCs w:val="24"/>
          <w14:ligatures w14:val="none"/>
        </w:rPr>
        <w:t>singability</w:t>
      </w:r>
      <w:proofErr w:type="spellEnd"/>
      <w:r w:rsidRPr="009C7F49">
        <w:rPr>
          <w:rFonts w:ascii="Calibri" w:eastAsia="Calibri" w:hAnsi="Calibri" w:cs="Times New Roman"/>
          <w:sz w:val="24"/>
          <w:szCs w:val="24"/>
          <w14:ligatures w14:val="none"/>
        </w:rPr>
        <w:t>,” the register, and the presence of an actual harmonic progression, I</w:t>
      </w:r>
      <w:proofErr w:type="gramStart"/>
      <w:r w:rsidRPr="009C7F49">
        <w:rPr>
          <w:rFonts w:ascii="Calibri" w:eastAsia="Calibri" w:hAnsi="Calibri" w:cs="Times New Roman"/>
          <w:sz w:val="24"/>
          <w:szCs w:val="24"/>
          <w14:ligatures w14:val="none"/>
        </w:rPr>
        <w:t>–“</w:t>
      </w:r>
      <w:proofErr w:type="gramEnd"/>
      <w:r w:rsidRPr="009C7F49">
        <w:rPr>
          <w:rFonts w:ascii="Calibri" w:eastAsia="Calibri" w:hAnsi="Calibri" w:cs="Times New Roman"/>
          <w:sz w:val="24"/>
          <w:szCs w:val="24"/>
          <w14:ligatures w14:val="none"/>
        </w:rPr>
        <w:t>III</w:t>
      </w:r>
      <w:r w:rsidRPr="009C7F49">
        <w:rPr>
          <w:rFonts w:ascii="Calibri" w:eastAsia="Calibri" w:hAnsi="Calibri" w:cs="Times New Roman"/>
          <w:sz w:val="24"/>
          <w:szCs w:val="24"/>
          <w:vertAlign w:val="subscript"/>
          <w14:ligatures w14:val="none"/>
        </w:rPr>
        <w:t>6/4</w:t>
      </w:r>
      <w:r w:rsidRPr="009C7F49">
        <w:rPr>
          <w:rFonts w:ascii="Calibri" w:eastAsia="Calibri" w:hAnsi="Calibri" w:cs="Times New Roman"/>
          <w:sz w:val="24"/>
          <w:szCs w:val="24"/>
          <w14:ligatures w14:val="none"/>
        </w:rPr>
        <w:t>”–iv</w:t>
      </w:r>
      <w:r w:rsidRPr="009C7F49">
        <w:rPr>
          <w:rFonts w:ascii="Calibri" w:eastAsia="Calibri" w:hAnsi="Calibri" w:cs="Times New Roman"/>
          <w:sz w:val="24"/>
          <w:szCs w:val="24"/>
          <w:vertAlign w:val="subscript"/>
          <w14:ligatures w14:val="none"/>
        </w:rPr>
        <w:t>6</w:t>
      </w:r>
      <w:r w:rsidRPr="009C7F49">
        <w:rPr>
          <w:rFonts w:ascii="Calibri" w:eastAsia="Calibri" w:hAnsi="Calibri" w:cs="Times New Roman"/>
          <w:sz w:val="24"/>
          <w:szCs w:val="24"/>
          <w14:ligatures w14:val="none"/>
        </w:rPr>
        <w:t xml:space="preserve">–V with striking outer-voice counterpoint (marked in Example 3). The alternative reading—basic idea in m. 1—suggests a local sentence: basic idea in m. 1, its repetition in m. 2, and fragmentation in the following measures. This sentential reading supports the R = ½ N </w:t>
      </w:r>
      <w:proofErr w:type="gramStart"/>
      <w:r w:rsidRPr="009C7F49">
        <w:rPr>
          <w:rFonts w:ascii="Calibri" w:eastAsia="Calibri" w:hAnsi="Calibri" w:cs="Times New Roman"/>
          <w:sz w:val="24"/>
          <w:szCs w:val="24"/>
          <w14:ligatures w14:val="none"/>
        </w:rPr>
        <w:t>idea, since</w:t>
      </w:r>
      <w:proofErr w:type="gramEnd"/>
      <w:r w:rsidRPr="009C7F49">
        <w:rPr>
          <w:rFonts w:ascii="Calibri" w:eastAsia="Calibri" w:hAnsi="Calibri" w:cs="Times New Roman"/>
          <w:sz w:val="24"/>
          <w:szCs w:val="24"/>
          <w14:ligatures w14:val="none"/>
        </w:rPr>
        <w:t xml:space="preserve"> the succession of “real” half-note measures is 2+2+1+1+1+1. The </w:t>
      </w:r>
      <w:r w:rsidRPr="009C7F49">
        <w:rPr>
          <w:rFonts w:ascii="Calibri" w:eastAsia="Calibri" w:hAnsi="Calibri" w:cs="Times New Roman"/>
          <w:i/>
          <w:iCs/>
          <w:sz w:val="24"/>
          <w:szCs w:val="24"/>
          <w14:ligatures w14:val="none"/>
        </w:rPr>
        <w:t>dis</w:t>
      </w:r>
      <w:r w:rsidRPr="009C7F49">
        <w:rPr>
          <w:rFonts w:ascii="Calibri" w:eastAsia="Calibri" w:hAnsi="Calibri" w:cs="Times New Roman"/>
          <w:sz w:val="24"/>
          <w:szCs w:val="24"/>
          <w14:ligatures w14:val="none"/>
        </w:rPr>
        <w:t xml:space="preserve">advantage is primarily form-functional: while the sentence works internally, the following music is harder to explain, especially mm. 5–9. </w:t>
      </w:r>
    </w:p>
    <w:p w14:paraId="7DB466F9" w14:textId="77777777"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The choice to hear the basic idea in m. 3 allows for a distinction between two types of material—melodic, which begins with the D-F-G line, and </w:t>
      </w:r>
      <w:proofErr w:type="spellStart"/>
      <w:r w:rsidRPr="009C7F49">
        <w:rPr>
          <w:rFonts w:ascii="Calibri" w:eastAsia="Calibri" w:hAnsi="Calibri" w:cs="Times New Roman"/>
          <w:sz w:val="24"/>
          <w:szCs w:val="24"/>
          <w14:ligatures w14:val="none"/>
        </w:rPr>
        <w:t>accompanimental</w:t>
      </w:r>
      <w:proofErr w:type="spellEnd"/>
      <w:r w:rsidRPr="009C7F49">
        <w:rPr>
          <w:rFonts w:ascii="Calibri" w:eastAsia="Calibri" w:hAnsi="Calibri" w:cs="Times New Roman"/>
          <w:sz w:val="24"/>
          <w:szCs w:val="24"/>
          <w14:ligatures w14:val="none"/>
        </w:rPr>
        <w:t xml:space="preserve">, which may be called </w:t>
      </w:r>
      <w:r w:rsidRPr="009C7F49">
        <w:rPr>
          <w:rFonts w:ascii="Calibri" w:eastAsia="Calibri" w:hAnsi="Calibri" w:cs="Times New Roman"/>
          <w:i/>
          <w:sz w:val="24"/>
          <w:szCs w:val="24"/>
          <w14:ligatures w14:val="none"/>
        </w:rPr>
        <w:t>framing material</w:t>
      </w:r>
      <w:r w:rsidRPr="009C7F49">
        <w:rPr>
          <w:rFonts w:ascii="Calibri" w:eastAsia="Calibri" w:hAnsi="Calibri" w:cs="Times New Roman"/>
          <w:sz w:val="24"/>
          <w:szCs w:val="24"/>
          <w14:ligatures w14:val="none"/>
        </w:rPr>
        <w:t>, to adapt Caplin’s term “framing function.” One might also think of them as thematic and non-thematic material, or essential and non-essential (an 18</w:t>
      </w:r>
      <w:r w:rsidRPr="009C7F49">
        <w:rPr>
          <w:rFonts w:ascii="Calibri" w:eastAsia="Calibri" w:hAnsi="Calibri" w:cs="Times New Roman"/>
          <w:sz w:val="24"/>
          <w:szCs w:val="24"/>
          <w:vertAlign w:val="superscript"/>
          <w14:ligatures w14:val="none"/>
        </w:rPr>
        <w:t>th</w:t>
      </w:r>
      <w:r w:rsidRPr="009C7F49">
        <w:rPr>
          <w:rFonts w:ascii="Calibri" w:eastAsia="Calibri" w:hAnsi="Calibri" w:cs="Times New Roman"/>
          <w:sz w:val="24"/>
          <w:szCs w:val="24"/>
          <w14:ligatures w14:val="none"/>
        </w:rPr>
        <w:t xml:space="preserve">-century distinction recently revived in </w:t>
      </w:r>
      <w:proofErr w:type="spellStart"/>
      <w:r w:rsidRPr="009C7F49">
        <w:rPr>
          <w:rFonts w:ascii="Calibri" w:eastAsia="Calibri" w:hAnsi="Calibri" w:cs="Times New Roman"/>
          <w:sz w:val="24"/>
          <w:szCs w:val="24"/>
          <w14:ligatures w14:val="none"/>
        </w:rPr>
        <w:t>Poundie</w:t>
      </w:r>
      <w:proofErr w:type="spellEnd"/>
      <w:r w:rsidRPr="009C7F49">
        <w:rPr>
          <w:rFonts w:ascii="Calibri" w:eastAsia="Calibri" w:hAnsi="Calibri" w:cs="Times New Roman"/>
          <w:sz w:val="24"/>
          <w:szCs w:val="24"/>
          <w14:ligatures w14:val="none"/>
        </w:rPr>
        <w:t xml:space="preserve"> Burstein’s, 2024, work on Graun and Koch). The thematic material forms four symmetrical phrases (marked in Example 1), whose structure is 4+4+4+4 half-notes. To use Rothstein’s term (1989, 65), this is the </w:t>
      </w:r>
      <w:r w:rsidRPr="009C7F49">
        <w:rPr>
          <w:rFonts w:ascii="Calibri" w:eastAsia="Calibri" w:hAnsi="Calibri" w:cs="Times New Roman"/>
          <w:i/>
          <w:iCs/>
          <w:sz w:val="24"/>
          <w:szCs w:val="24"/>
          <w14:ligatures w14:val="none"/>
        </w:rPr>
        <w:t>basic length</w:t>
      </w:r>
      <w:r w:rsidRPr="009C7F49">
        <w:rPr>
          <w:rFonts w:ascii="Calibri" w:eastAsia="Calibri" w:hAnsi="Calibri" w:cs="Times New Roman"/>
          <w:sz w:val="24"/>
          <w:szCs w:val="24"/>
          <w14:ligatures w14:val="none"/>
        </w:rPr>
        <w:t xml:space="preserve"> of the “a” section, the length to which the music can be reasonably reduced and still sound coherent. It is also the form-functional body of section “a,” a compound period I will henceforth call the “structural period,” where each large phrase is a hybrid. The internal structure of each hybrid is a </w:t>
      </w:r>
      <w:proofErr w:type="spellStart"/>
      <w:r w:rsidRPr="009C7F49">
        <w:rPr>
          <w:rFonts w:ascii="Calibri" w:eastAsia="Calibri" w:hAnsi="Calibri" w:cs="Times New Roman"/>
          <w:sz w:val="24"/>
          <w:szCs w:val="24"/>
          <w14:ligatures w14:val="none"/>
        </w:rPr>
        <w:t>c.b.i.</w:t>
      </w:r>
      <w:proofErr w:type="spellEnd"/>
      <w:r w:rsidRPr="009C7F49">
        <w:rPr>
          <w:rFonts w:ascii="Calibri" w:eastAsia="Calibri" w:hAnsi="Calibri" w:cs="Times New Roman"/>
          <w:sz w:val="24"/>
          <w:szCs w:val="24"/>
          <w14:ligatures w14:val="none"/>
        </w:rPr>
        <w:t xml:space="preserve"> (compound basic idea) plus continuation. (One might argue for an additional HC in m. 5; but its </w:t>
      </w:r>
      <w:r w:rsidRPr="009C7F49">
        <w:rPr>
          <w:rFonts w:ascii="Calibri" w:eastAsia="Calibri" w:hAnsi="Calibri" w:cs="Times New Roman"/>
          <w:sz w:val="24"/>
          <w:szCs w:val="24"/>
          <w14:ligatures w14:val="none"/>
        </w:rPr>
        <w:lastRenderedPageBreak/>
        <w:t xml:space="preserve">cadential status is undermined by the consequent, where the corresponding point, m. 14, is decidedly non-cadential).  </w:t>
      </w:r>
    </w:p>
    <w:p w14:paraId="0CDF61BC" w14:textId="1D079390"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The symmetry of the</w:t>
      </w:r>
      <w:r w:rsidR="003F74F2">
        <w:rPr>
          <w:rFonts w:ascii="Calibri" w:eastAsia="Calibri" w:hAnsi="Calibri" w:cs="Times New Roman"/>
          <w:sz w:val="24"/>
          <w:szCs w:val="24"/>
          <w14:ligatures w14:val="none"/>
        </w:rPr>
        <w:t>se</w:t>
      </w:r>
      <w:r w:rsidRPr="009C7F49">
        <w:rPr>
          <w:rFonts w:ascii="Calibri" w:eastAsia="Calibri" w:hAnsi="Calibri" w:cs="Times New Roman"/>
          <w:sz w:val="24"/>
          <w:szCs w:val="24"/>
          <w14:ligatures w14:val="none"/>
        </w:rPr>
        <w:t xml:space="preserve"> four phrases allows one to explain the anomalous 2/4 measures in terms of shifts with respect to the structural period’s underlying regularity. </w:t>
      </w:r>
      <w:r w:rsidR="003F74F2">
        <w:rPr>
          <w:rFonts w:ascii="Calibri" w:eastAsia="Calibri" w:hAnsi="Calibri" w:cs="Times New Roman"/>
          <w:sz w:val="24"/>
          <w:szCs w:val="24"/>
          <w14:ligatures w14:val="none"/>
        </w:rPr>
        <w:t>(</w:t>
      </w:r>
      <w:r w:rsidR="003F74F2" w:rsidRPr="003F74F2">
        <w:rPr>
          <w:rFonts w:ascii="Calibri" w:eastAsia="Calibri" w:hAnsi="Calibri" w:cs="Times New Roman"/>
          <w:sz w:val="24"/>
          <w:szCs w:val="24"/>
          <w14:ligatures w14:val="none"/>
        </w:rPr>
        <w:t xml:space="preserve">It is this four-square construction (relevant especially </w:t>
      </w:r>
      <w:proofErr w:type="gramStart"/>
      <w:r w:rsidR="003F74F2" w:rsidRPr="003F74F2">
        <w:rPr>
          <w:rFonts w:ascii="Calibri" w:eastAsia="Calibri" w:hAnsi="Calibri" w:cs="Times New Roman"/>
          <w:sz w:val="24"/>
          <w:szCs w:val="24"/>
          <w14:ligatures w14:val="none"/>
        </w:rPr>
        <w:t>in light of</w:t>
      </w:r>
      <w:proofErr w:type="gramEnd"/>
      <w:r w:rsidR="003F74F2" w:rsidRPr="003F74F2">
        <w:rPr>
          <w:rFonts w:ascii="Calibri" w:eastAsia="Calibri" w:hAnsi="Calibri" w:cs="Times New Roman"/>
          <w:sz w:val="24"/>
          <w:szCs w:val="24"/>
          <w14:ligatures w14:val="none"/>
        </w:rPr>
        <w:t xml:space="preserve"> the march topic) that ultimately makes the alternative reading—the sentence starting in m. 1—less convincing.</w:t>
      </w:r>
      <w:r w:rsidR="003F74F2">
        <w:rPr>
          <w:rFonts w:ascii="Calibri" w:eastAsia="Calibri" w:hAnsi="Calibri" w:cs="Times New Roman"/>
          <w:sz w:val="24"/>
          <w:szCs w:val="24"/>
          <w14:ligatures w14:val="none"/>
        </w:rPr>
        <w:t xml:space="preserve">) </w:t>
      </w:r>
      <w:r w:rsidRPr="009C7F49">
        <w:rPr>
          <w:rFonts w:ascii="Calibri" w:eastAsia="Calibri" w:hAnsi="Calibri" w:cs="Times New Roman"/>
          <w:sz w:val="24"/>
          <w:szCs w:val="24"/>
          <w14:ligatures w14:val="none"/>
        </w:rPr>
        <w:t>Example 3 (a and b)</w:t>
      </w:r>
      <w:r w:rsidRPr="009C7F49">
        <w:rPr>
          <w:rFonts w:ascii="Calibri" w:eastAsia="Calibri" w:hAnsi="Calibri" w:cs="Times New Roman"/>
          <w:b/>
          <w:bCs/>
          <w:sz w:val="24"/>
          <w:szCs w:val="24"/>
          <w14:ligatures w14:val="none"/>
        </w:rPr>
        <w:t xml:space="preserve"> </w:t>
      </w:r>
      <w:r w:rsidRPr="009C7F49">
        <w:rPr>
          <w:rFonts w:ascii="Calibri" w:eastAsia="Calibri" w:hAnsi="Calibri" w:cs="Times New Roman"/>
          <w:sz w:val="24"/>
          <w:szCs w:val="24"/>
          <w14:ligatures w14:val="none"/>
        </w:rPr>
        <w:t xml:space="preserve">focuses on the interaction of the structural period and the framing material. The half-note is notated as the real measure here, so the time signature is 2/4. The insertions of framing material are asymmetrical, and they also constitute a significant departure from Classical forms: five half-note beats in the thematic introduction (whose formal placement is conventional), another four beats interpolated between the two halves of the antecedent (a form-functional surprise!), and another five in an introduction to the consequent (an </w:t>
      </w:r>
      <w:r w:rsidRPr="009C7F49">
        <w:rPr>
          <w:rFonts w:ascii="Calibri" w:eastAsia="Calibri" w:hAnsi="Calibri" w:cs="Times New Roman"/>
          <w:i/>
          <w:iCs/>
          <w:sz w:val="24"/>
          <w:szCs w:val="24"/>
          <w14:ligatures w14:val="none"/>
        </w:rPr>
        <w:t>un</w:t>
      </w:r>
      <w:r w:rsidRPr="009C7F49">
        <w:rPr>
          <w:rFonts w:ascii="Calibri" w:eastAsia="Calibri" w:hAnsi="Calibri" w:cs="Times New Roman"/>
          <w:sz w:val="24"/>
          <w:szCs w:val="24"/>
          <w14:ligatures w14:val="none"/>
        </w:rPr>
        <w:t xml:space="preserve">common placement). That makes for 14 half-notes outside of the structural period, but they are </w:t>
      </w:r>
      <w:r w:rsidRPr="009C7F49">
        <w:rPr>
          <w:rFonts w:ascii="Calibri" w:eastAsia="Calibri" w:hAnsi="Calibri" w:cs="Times New Roman"/>
          <w:i/>
          <w:iCs/>
          <w:sz w:val="24"/>
          <w:szCs w:val="24"/>
          <w14:ligatures w14:val="none"/>
        </w:rPr>
        <w:t>unevenly distributed</w:t>
      </w:r>
      <w:r w:rsidRPr="009C7F49">
        <w:rPr>
          <w:rFonts w:ascii="Calibri" w:eastAsia="Calibri" w:hAnsi="Calibri" w:cs="Times New Roman"/>
          <w:sz w:val="24"/>
          <w:szCs w:val="24"/>
          <w14:ligatures w14:val="none"/>
        </w:rPr>
        <w:t xml:space="preserve">. It is this uneven distribution of framing material that necessitates the anomalous measures in two separate places. It is not difficult to see which beat is “extra”: the one that creates five-beat units, the fifth half-note in both thematic introductions. One could logically take out these two beats and have a more regular, 4-beat introduction without any harmonic discontinuity. So, if the half-note is the real measure, then there are, after all, extra measures in this piece! </w:t>
      </w:r>
    </w:p>
    <w:p w14:paraId="70B525C3" w14:textId="77777777"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But, while phrase structure determines which half-note is “extra,” only metrical analysis can determine which 4/4 measure is “too short”—in other words, at which specific point the metrical disturbance takes place. So far, I have considered the music in terms of half-note beats. </w:t>
      </w:r>
      <w:r w:rsidRPr="009C7F49">
        <w:rPr>
          <w:rFonts w:ascii="Calibri" w:eastAsia="Calibri" w:hAnsi="Calibri" w:cs="Times New Roman"/>
          <w:sz w:val="24"/>
          <w:szCs w:val="24"/>
          <w14:ligatures w14:val="none"/>
        </w:rPr>
        <w:lastRenderedPageBreak/>
        <w:t xml:space="preserve">But what about the </w:t>
      </w:r>
      <w:proofErr w:type="gramStart"/>
      <w:r w:rsidRPr="009C7F49">
        <w:rPr>
          <w:rFonts w:ascii="Calibri" w:eastAsia="Calibri" w:hAnsi="Calibri" w:cs="Times New Roman"/>
          <w:sz w:val="24"/>
          <w:szCs w:val="24"/>
          <w14:ligatures w14:val="none"/>
        </w:rPr>
        <w:t>4/4 time</w:t>
      </w:r>
      <w:proofErr w:type="gramEnd"/>
      <w:r w:rsidRPr="009C7F49">
        <w:rPr>
          <w:rFonts w:ascii="Calibri" w:eastAsia="Calibri" w:hAnsi="Calibri" w:cs="Times New Roman"/>
          <w:sz w:val="24"/>
          <w:szCs w:val="24"/>
          <w14:ligatures w14:val="none"/>
        </w:rPr>
        <w:t xml:space="preserve"> signature—the composer’s notational choice, and a two-bar hypermetrical unit for those who prefer to hear the 2/4 bar as the real measure? </w:t>
      </w:r>
    </w:p>
    <w:p w14:paraId="70769A14" w14:textId="77777777"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There are two answers depending on how one hears the structural period—as beginning-accented or as end-accented.</w:t>
      </w:r>
      <w:r w:rsidRPr="009C7F49">
        <w:rPr>
          <w:rFonts w:ascii="Calibri" w:eastAsia="Calibri" w:hAnsi="Calibri" w:cs="Times New Roman"/>
          <w:sz w:val="24"/>
          <w:szCs w:val="24"/>
          <w:vertAlign w:val="superscript"/>
          <w14:ligatures w14:val="none"/>
        </w:rPr>
        <w:footnoteReference w:id="5"/>
      </w:r>
      <w:r w:rsidRPr="009C7F49">
        <w:rPr>
          <w:rFonts w:ascii="Calibri" w:eastAsia="Calibri" w:hAnsi="Calibri" w:cs="Times New Roman"/>
          <w:sz w:val="24"/>
          <w:szCs w:val="24"/>
          <w14:ligatures w14:val="none"/>
        </w:rPr>
        <w:t xml:space="preserve"> Both Example 3 (</w:t>
      </w:r>
      <w:proofErr w:type="gramStart"/>
      <w:r w:rsidRPr="009C7F49">
        <w:rPr>
          <w:rFonts w:ascii="Calibri" w:eastAsia="Calibri" w:hAnsi="Calibri" w:cs="Times New Roman"/>
          <w:sz w:val="24"/>
          <w:szCs w:val="24"/>
          <w14:ligatures w14:val="none"/>
        </w:rPr>
        <w:t>2/4 time</w:t>
      </w:r>
      <w:proofErr w:type="gramEnd"/>
      <w:r w:rsidRPr="009C7F49">
        <w:rPr>
          <w:rFonts w:ascii="Calibri" w:eastAsia="Calibri" w:hAnsi="Calibri" w:cs="Times New Roman"/>
          <w:sz w:val="24"/>
          <w:szCs w:val="24"/>
          <w14:ligatures w14:val="none"/>
        </w:rPr>
        <w:t xml:space="preserve"> signature) and Example 4 (4/4 time signature), suggest a beginning-accented pattern, at the level of four half-notes. Example 4 rearranges the bar lines to emphasize beginning-accent within the structural period. In this reading, in each phrase of four half-notes, the first half-note is strong and is notated as a downbeat. This might sound logical to many, and the energetic opening of the antecedent supports this reading.</w:t>
      </w:r>
      <w:r w:rsidRPr="009C7F49">
        <w:rPr>
          <w:rFonts w:ascii="Calibri" w:eastAsia="Calibri" w:hAnsi="Calibri" w:cs="Times New Roman"/>
          <w:sz w:val="24"/>
          <w:szCs w:val="24"/>
          <w:vertAlign w:val="superscript"/>
          <w14:ligatures w14:val="none"/>
        </w:rPr>
        <w:footnoteReference w:id="6"/>
      </w:r>
      <w:r w:rsidRPr="009C7F49">
        <w:rPr>
          <w:rFonts w:ascii="Calibri" w:eastAsia="Calibri" w:hAnsi="Calibri" w:cs="Times New Roman"/>
          <w:sz w:val="24"/>
          <w:szCs w:val="24"/>
          <w14:ligatures w14:val="none"/>
        </w:rPr>
        <w:t xml:space="preserve"> The tonic chord at the first beat of the antecedent and the consequent suggest a beginning-accent too (Lerdahl and </w:t>
      </w:r>
      <w:proofErr w:type="spellStart"/>
      <w:r w:rsidRPr="009C7F49">
        <w:rPr>
          <w:rFonts w:ascii="Calibri" w:eastAsia="Calibri" w:hAnsi="Calibri" w:cs="Times New Roman"/>
          <w:sz w:val="24"/>
          <w:szCs w:val="24"/>
          <w14:ligatures w14:val="none"/>
        </w:rPr>
        <w:t>Jackendoff’s</w:t>
      </w:r>
      <w:proofErr w:type="spellEnd"/>
      <w:r w:rsidRPr="009C7F49">
        <w:rPr>
          <w:rFonts w:ascii="Calibri" w:eastAsia="Calibri" w:hAnsi="Calibri" w:cs="Times New Roman"/>
          <w:sz w:val="24"/>
          <w:szCs w:val="24"/>
          <w14:ligatures w14:val="none"/>
        </w:rPr>
        <w:t xml:space="preserve"> metrical preference rule 9, or Rothstein’s “stability rule”). Since the introduction is clearly beginning-accented (the first and third half-notes are strong thanks to the low bass notes), the extra beat just before the antecedent results in two consecutive strong beats at the junction of the introduction and the antecedent, producing a metrical reinterpretation, or </w:t>
      </w:r>
      <w:r w:rsidRPr="009C7F49">
        <w:rPr>
          <w:rFonts w:ascii="Calibri" w:eastAsia="Calibri" w:hAnsi="Calibri" w:cs="Times New Roman"/>
          <w:i/>
          <w:iCs/>
          <w:sz w:val="24"/>
          <w:szCs w:val="24"/>
          <w14:ligatures w14:val="none"/>
        </w:rPr>
        <w:t>deletion</w:t>
      </w:r>
      <w:r w:rsidRPr="009C7F49">
        <w:rPr>
          <w:rFonts w:ascii="Calibri" w:eastAsia="Calibri" w:hAnsi="Calibri" w:cs="Times New Roman"/>
          <w:sz w:val="24"/>
          <w:szCs w:val="24"/>
          <w14:ligatures w14:val="none"/>
        </w:rPr>
        <w:t xml:space="preserve"> (term from Lerdahl and </w:t>
      </w:r>
      <w:proofErr w:type="spellStart"/>
      <w:r w:rsidRPr="009C7F49">
        <w:rPr>
          <w:rFonts w:ascii="Calibri" w:eastAsia="Calibri" w:hAnsi="Calibri" w:cs="Times New Roman"/>
          <w:sz w:val="24"/>
          <w:szCs w:val="24"/>
          <w14:ligatures w14:val="none"/>
        </w:rPr>
        <w:lastRenderedPageBreak/>
        <w:t>Jackendoff</w:t>
      </w:r>
      <w:proofErr w:type="spellEnd"/>
      <w:r w:rsidRPr="009C7F49">
        <w:rPr>
          <w:rFonts w:ascii="Calibri" w:eastAsia="Calibri" w:hAnsi="Calibri" w:cs="Times New Roman"/>
          <w:sz w:val="24"/>
          <w:szCs w:val="24"/>
          <w14:ligatures w14:val="none"/>
        </w:rPr>
        <w:t xml:space="preserve"> 1983, 70).</w:t>
      </w:r>
      <w:r w:rsidRPr="009C7F49">
        <w:rPr>
          <w:rFonts w:ascii="Calibri" w:eastAsia="Calibri" w:hAnsi="Calibri" w:cs="Times New Roman"/>
          <w:sz w:val="24"/>
          <w:szCs w:val="24"/>
          <w:vertAlign w:val="superscript"/>
          <w14:ligatures w14:val="none"/>
        </w:rPr>
        <w:footnoteReference w:id="7"/>
      </w:r>
      <w:r w:rsidRPr="009C7F49">
        <w:rPr>
          <w:rFonts w:ascii="Calibri" w:eastAsia="Calibri" w:hAnsi="Calibri" w:cs="Times New Roman"/>
          <w:sz w:val="24"/>
          <w:szCs w:val="24"/>
          <w14:ligatures w14:val="none"/>
        </w:rPr>
        <w:t xml:space="preserve"> This is why the </w:t>
      </w:r>
      <w:proofErr w:type="spellStart"/>
      <w:r w:rsidRPr="009C7F49">
        <w:rPr>
          <w:rFonts w:ascii="Calibri" w:eastAsia="Calibri" w:hAnsi="Calibri" w:cs="Times New Roman"/>
          <w:sz w:val="24"/>
          <w:szCs w:val="24"/>
          <w14:ligatures w14:val="none"/>
        </w:rPr>
        <w:t>renotated</w:t>
      </w:r>
      <w:proofErr w:type="spellEnd"/>
      <w:r w:rsidRPr="009C7F49">
        <w:rPr>
          <w:rFonts w:ascii="Calibri" w:eastAsia="Calibri" w:hAnsi="Calibri" w:cs="Times New Roman"/>
          <w:sz w:val="24"/>
          <w:szCs w:val="24"/>
          <w14:ligatures w14:val="none"/>
        </w:rPr>
        <w:t xml:space="preserve"> version in Example 4 transfers the anomalous 2/4 measure to the point immediately prior to the antecedent and the consequent.  </w:t>
      </w:r>
    </w:p>
    <w:p w14:paraId="1101F55E" w14:textId="77777777"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But this, of course, is </w:t>
      </w:r>
      <w:r w:rsidRPr="009C7F49">
        <w:rPr>
          <w:rFonts w:ascii="Calibri" w:eastAsia="Calibri" w:hAnsi="Calibri" w:cs="Times New Roman"/>
          <w:i/>
          <w:iCs/>
          <w:sz w:val="24"/>
          <w:szCs w:val="24"/>
          <w14:ligatures w14:val="none"/>
        </w:rPr>
        <w:t>not</w:t>
      </w:r>
      <w:r w:rsidRPr="009C7F49">
        <w:rPr>
          <w:rFonts w:ascii="Calibri" w:eastAsia="Calibri" w:hAnsi="Calibri" w:cs="Times New Roman"/>
          <w:sz w:val="24"/>
          <w:szCs w:val="24"/>
          <w14:ligatures w14:val="none"/>
        </w:rPr>
        <w:t xml:space="preserve"> how Rachmaninoff chooses to notate it. Instead, he implies an end-accented pattern, notating the time-signature change in mm. 9 and 16, and placing the </w:t>
      </w:r>
      <w:r w:rsidRPr="009C7F49">
        <w:rPr>
          <w:rFonts w:ascii="Calibri" w:eastAsia="Calibri" w:hAnsi="Calibri" w:cs="Times New Roman"/>
          <w:i/>
          <w:iCs/>
          <w:sz w:val="24"/>
          <w:szCs w:val="24"/>
          <w14:ligatures w14:val="none"/>
        </w:rPr>
        <w:t>second</w:t>
      </w:r>
      <w:r w:rsidRPr="009C7F49">
        <w:rPr>
          <w:rFonts w:ascii="Calibri" w:eastAsia="Calibri" w:hAnsi="Calibri" w:cs="Times New Roman"/>
          <w:sz w:val="24"/>
          <w:szCs w:val="24"/>
          <w14:ligatures w14:val="none"/>
        </w:rPr>
        <w:t xml:space="preserve"> and </w:t>
      </w:r>
      <w:r w:rsidRPr="009C7F49">
        <w:rPr>
          <w:rFonts w:ascii="Calibri" w:eastAsia="Calibri" w:hAnsi="Calibri" w:cs="Times New Roman"/>
          <w:i/>
          <w:iCs/>
          <w:sz w:val="24"/>
          <w:szCs w:val="24"/>
          <w14:ligatures w14:val="none"/>
        </w:rPr>
        <w:t>fourth</w:t>
      </w:r>
      <w:r w:rsidRPr="009C7F49">
        <w:rPr>
          <w:rFonts w:ascii="Calibri" w:eastAsia="Calibri" w:hAnsi="Calibri" w:cs="Times New Roman"/>
          <w:sz w:val="24"/>
          <w:szCs w:val="24"/>
          <w14:ligatures w14:val="none"/>
        </w:rPr>
        <w:t xml:space="preserve"> half-notes in the structural period on downbeats. This forces a metrical reinterpretation of the beat directly following the two cadences. The visual markedness of the cadences as the anomalous 2/4 measures perhaps suggests and they are </w:t>
      </w:r>
      <w:r w:rsidRPr="009C7F49">
        <w:rPr>
          <w:rFonts w:ascii="Calibri" w:eastAsia="Calibri" w:hAnsi="Calibri" w:cs="Times New Roman"/>
          <w:i/>
          <w:iCs/>
          <w:sz w:val="24"/>
          <w:szCs w:val="24"/>
          <w14:ligatures w14:val="none"/>
        </w:rPr>
        <w:t>the</w:t>
      </w:r>
      <w:r w:rsidRPr="009C7F49">
        <w:rPr>
          <w:rFonts w:ascii="Calibri" w:eastAsia="Calibri" w:hAnsi="Calibri" w:cs="Times New Roman"/>
          <w:sz w:val="24"/>
          <w:szCs w:val="24"/>
          <w14:ligatures w14:val="none"/>
        </w:rPr>
        <w:t xml:space="preserve"> strongest, the hypermetrical accent at the 4-half-note level and maybe even the 8-half-note level. (A later </w:t>
      </w:r>
      <w:proofErr w:type="spellStart"/>
      <w:r w:rsidRPr="009C7F49">
        <w:rPr>
          <w:rFonts w:ascii="Calibri" w:eastAsia="Calibri" w:hAnsi="Calibri" w:cs="Times New Roman"/>
          <w:sz w:val="24"/>
          <w:szCs w:val="24"/>
          <w14:ligatures w14:val="none"/>
        </w:rPr>
        <w:t>recomposition</w:t>
      </w:r>
      <w:proofErr w:type="spellEnd"/>
      <w:r w:rsidRPr="009C7F49">
        <w:rPr>
          <w:rFonts w:ascii="Calibri" w:eastAsia="Calibri" w:hAnsi="Calibri" w:cs="Times New Roman"/>
          <w:sz w:val="24"/>
          <w:szCs w:val="24"/>
          <w14:ligatures w14:val="none"/>
        </w:rPr>
        <w:t xml:space="preserve"> of this material, however, undermines this impression; see analysis of the recapitulation, below.)</w:t>
      </w:r>
    </w:p>
    <w:p w14:paraId="132ED39E" w14:textId="77777777"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Whichever metrical reading one prefers, however, the phrase-rhythmic irregularities—including the five-beat introduction and the unexpected interpolation—create an impression of reluctance, a metaphorical “trial and error” or “stop-and-go.” This observation supplies a transition to the last part of my analysis—the large-scale form (revisit Example 2).  </w:t>
      </w:r>
    </w:p>
    <w:p w14:paraId="06791E48" w14:textId="50158BD0"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The “reluctant” character of the “a” section is entirely gone in the rest of the piece, and the anomalous 2/4 measure also never comes back. This happens for a different reason in each formal area. First, the local “b” section</w:t>
      </w:r>
      <w:r w:rsidR="007900B2">
        <w:rPr>
          <w:rFonts w:ascii="Calibri" w:eastAsia="Calibri" w:hAnsi="Calibri" w:cs="Times New Roman"/>
          <w:sz w:val="24"/>
          <w:szCs w:val="24"/>
          <w14:ligatures w14:val="none"/>
        </w:rPr>
        <w:t xml:space="preserve"> (not shown)</w:t>
      </w:r>
      <w:r w:rsidRPr="009C7F49">
        <w:rPr>
          <w:rFonts w:ascii="Calibri" w:eastAsia="Calibri" w:hAnsi="Calibri" w:cs="Times New Roman"/>
          <w:sz w:val="24"/>
          <w:szCs w:val="24"/>
          <w14:ligatures w14:val="none"/>
        </w:rPr>
        <w:t xml:space="preserve"> is phrase-rhythmically regular; its medial character is primarily in the sequential progression (chord roots Eb–Bb–D; F–C–Eb). The local a’ section is truncated and preserves only the first out of four phrases of the original compound </w:t>
      </w:r>
      <w:r w:rsidRPr="009C7F49">
        <w:rPr>
          <w:rFonts w:ascii="Calibri" w:eastAsia="Calibri" w:hAnsi="Calibri" w:cs="Times New Roman"/>
          <w:sz w:val="24"/>
          <w:szCs w:val="24"/>
          <w14:ligatures w14:val="none"/>
        </w:rPr>
        <w:lastRenderedPageBreak/>
        <w:t xml:space="preserve">period. There is still framing material, but it works differently this time. This section is twenty half-notes long, arranged as 5+4+11 (the last eleven are post-cadential, a local standing-on-the-dominant after a HC). It is once again asymmetrical, but it happens to have an even number of beats, and no extra half-note is needed. The large-scale B section is mostly metrically regular. It brings new thematic material, lyrical and—unlike the melodically fragmentary A section—with a real melody. The slower melodic development, as well as the broader sweeps of the accompaniment, suggest a change to an </w:t>
      </w:r>
      <w:proofErr w:type="spellStart"/>
      <w:r w:rsidRPr="009C7F49">
        <w:rPr>
          <w:rFonts w:ascii="Calibri" w:eastAsia="Calibri" w:hAnsi="Calibri" w:cs="Times New Roman"/>
          <w:i/>
          <w:iCs/>
          <w:sz w:val="24"/>
          <w:szCs w:val="24"/>
          <w14:ligatures w14:val="none"/>
        </w:rPr>
        <w:t>alla</w:t>
      </w:r>
      <w:proofErr w:type="spellEnd"/>
      <w:r w:rsidRPr="009C7F49">
        <w:rPr>
          <w:rFonts w:ascii="Calibri" w:eastAsia="Calibri" w:hAnsi="Calibri" w:cs="Times New Roman"/>
          <w:i/>
          <w:iCs/>
          <w:sz w:val="24"/>
          <w:szCs w:val="24"/>
          <w14:ligatures w14:val="none"/>
        </w:rPr>
        <w:t xml:space="preserve"> breve</w:t>
      </w:r>
      <w:r w:rsidRPr="009C7F49">
        <w:rPr>
          <w:rFonts w:ascii="Calibri" w:eastAsia="Calibri" w:hAnsi="Calibri" w:cs="Times New Roman"/>
          <w:sz w:val="24"/>
          <w:szCs w:val="24"/>
          <w14:ligatures w14:val="none"/>
        </w:rPr>
        <w:t xml:space="preserve"> measure (a </w:t>
      </w:r>
      <w:proofErr w:type="gramStart"/>
      <w:r w:rsidRPr="009C7F49">
        <w:rPr>
          <w:rFonts w:ascii="Calibri" w:eastAsia="Calibri" w:hAnsi="Calibri" w:cs="Times New Roman"/>
          <w:sz w:val="24"/>
          <w:szCs w:val="24"/>
          <w14:ligatures w14:val="none"/>
        </w:rPr>
        <w:t>whole-note</w:t>
      </w:r>
      <w:proofErr w:type="gramEnd"/>
      <w:r w:rsidRPr="009C7F49">
        <w:rPr>
          <w:rFonts w:ascii="Calibri" w:eastAsia="Calibri" w:hAnsi="Calibri" w:cs="Times New Roman"/>
          <w:sz w:val="24"/>
          <w:szCs w:val="24"/>
          <w14:ligatures w14:val="none"/>
        </w:rPr>
        <w:t xml:space="preserve"> long, rather than a de facto 2/4</w:t>
      </w:r>
      <w:r w:rsidR="00A44CB1">
        <w:rPr>
          <w:rFonts w:ascii="Calibri" w:eastAsia="Calibri" w:hAnsi="Calibri" w:cs="Times New Roman"/>
          <w:sz w:val="24"/>
          <w:szCs w:val="24"/>
          <w14:ligatures w14:val="none"/>
        </w:rPr>
        <w:t>, which returns in the A’ section</w:t>
      </w:r>
      <w:r w:rsidRPr="009C7F49">
        <w:rPr>
          <w:rFonts w:ascii="Calibri" w:eastAsia="Calibri" w:hAnsi="Calibri" w:cs="Times New Roman"/>
          <w:sz w:val="24"/>
          <w:szCs w:val="24"/>
          <w14:ligatures w14:val="none"/>
        </w:rPr>
        <w:t>). The</w:t>
      </w:r>
      <w:r w:rsidR="00A44CB1">
        <w:rPr>
          <w:rFonts w:ascii="Calibri" w:eastAsia="Calibri" w:hAnsi="Calibri" w:cs="Times New Roman"/>
          <w:sz w:val="24"/>
          <w:szCs w:val="24"/>
          <w14:ligatures w14:val="none"/>
        </w:rPr>
        <w:t xml:space="preserve"> B</w:t>
      </w:r>
      <w:r w:rsidRPr="009C7F49">
        <w:rPr>
          <w:rFonts w:ascii="Calibri" w:eastAsia="Calibri" w:hAnsi="Calibri" w:cs="Times New Roman"/>
          <w:sz w:val="24"/>
          <w:szCs w:val="24"/>
          <w14:ligatures w14:val="none"/>
        </w:rPr>
        <w:t xml:space="preserve"> theme consists of two sentence-like phrases, both of which begin and end on the dominant harmony, D. There is a single hypermetrical shift (reinterpretation) at m. 42, right after the first sentence has been compressed by a measure.   </w:t>
      </w:r>
    </w:p>
    <w:p w14:paraId="6F8B6760" w14:textId="0FDF78E8"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Finally, the prelude’s large-scale recapitulation deserves more attention. What we might initially expect is a return of the opening small ternary. Instead, the composer presents us with remnants of this opening theme. Its “a” section</w:t>
      </w:r>
      <w:r w:rsidR="00395D33">
        <w:rPr>
          <w:rFonts w:ascii="Calibri" w:eastAsia="Calibri" w:hAnsi="Calibri" w:cs="Times New Roman"/>
          <w:sz w:val="24"/>
          <w:szCs w:val="24"/>
          <w14:ligatures w14:val="none"/>
        </w:rPr>
        <w:t xml:space="preserve"> </w:t>
      </w:r>
      <w:r w:rsidRPr="009C7F49">
        <w:rPr>
          <w:rFonts w:ascii="Calibri" w:eastAsia="Calibri" w:hAnsi="Calibri" w:cs="Times New Roman"/>
          <w:sz w:val="24"/>
          <w:szCs w:val="24"/>
          <w14:ligatures w14:val="none"/>
        </w:rPr>
        <w:t xml:space="preserve">is replaced with a </w:t>
      </w:r>
      <w:r w:rsidR="00395D33">
        <w:rPr>
          <w:rFonts w:ascii="Calibri" w:eastAsia="Calibri" w:hAnsi="Calibri" w:cs="Times New Roman"/>
          <w:sz w:val="24"/>
          <w:szCs w:val="24"/>
          <w14:ligatures w14:val="none"/>
        </w:rPr>
        <w:t xml:space="preserve">new </w:t>
      </w:r>
      <w:r w:rsidRPr="009C7F49">
        <w:rPr>
          <w:rFonts w:ascii="Calibri" w:eastAsia="Calibri" w:hAnsi="Calibri" w:cs="Times New Roman"/>
          <w:sz w:val="24"/>
          <w:szCs w:val="24"/>
          <w14:ligatures w14:val="none"/>
        </w:rPr>
        <w:t>passage</w:t>
      </w:r>
      <w:r w:rsidR="00395D33">
        <w:rPr>
          <w:rFonts w:ascii="Calibri" w:eastAsia="Calibri" w:hAnsi="Calibri" w:cs="Times New Roman"/>
          <w:sz w:val="24"/>
          <w:szCs w:val="24"/>
          <w14:ligatures w14:val="none"/>
        </w:rPr>
        <w:t xml:space="preserve"> that uses the framing material</w:t>
      </w:r>
      <w:r w:rsidRPr="009C7F49">
        <w:rPr>
          <w:rFonts w:ascii="Calibri" w:eastAsia="Calibri" w:hAnsi="Calibri" w:cs="Times New Roman"/>
          <w:sz w:val="24"/>
          <w:szCs w:val="24"/>
          <w14:ligatures w14:val="none"/>
        </w:rPr>
        <w:t>, 14 notated measures long (equals 28 half-notes, so it does not require a change of time signature). The symmetrical contrasting middle</w:t>
      </w:r>
      <w:r w:rsidR="004344F2">
        <w:rPr>
          <w:rFonts w:ascii="Calibri" w:eastAsia="Calibri" w:hAnsi="Calibri" w:cs="Times New Roman"/>
          <w:sz w:val="24"/>
          <w:szCs w:val="24"/>
          <w14:ligatures w14:val="none"/>
        </w:rPr>
        <w:t xml:space="preserve"> (b)</w:t>
      </w:r>
      <w:r w:rsidRPr="009C7F49">
        <w:rPr>
          <w:rFonts w:ascii="Calibri" w:eastAsia="Calibri" w:hAnsi="Calibri" w:cs="Times New Roman"/>
          <w:sz w:val="24"/>
          <w:szCs w:val="24"/>
          <w14:ligatures w14:val="none"/>
        </w:rPr>
        <w:t xml:space="preserve"> remains the same as before. Finally, the small-scale recapitulation (a’) is entirely gone, replaced with a lengthy post-cadential passage prolonging the G-minor tonic.</w:t>
      </w:r>
      <w:r w:rsidRPr="009C7F49">
        <w:rPr>
          <w:rFonts w:ascii="Calibri" w:eastAsia="Calibri" w:hAnsi="Calibri" w:cs="Times New Roman"/>
          <w:sz w:val="24"/>
          <w:szCs w:val="24"/>
          <w:vertAlign w:val="superscript"/>
          <w14:ligatures w14:val="none"/>
        </w:rPr>
        <w:footnoteReference w:id="8"/>
      </w:r>
      <w:r w:rsidRPr="009C7F49">
        <w:rPr>
          <w:rFonts w:ascii="Calibri" w:eastAsia="Calibri" w:hAnsi="Calibri" w:cs="Times New Roman"/>
          <w:sz w:val="24"/>
          <w:szCs w:val="24"/>
          <w14:ligatures w14:val="none"/>
        </w:rPr>
        <w:t xml:space="preserve"> This falling-apart of the former ternary theme suggests Schmalfeldt’s idea of </w:t>
      </w:r>
      <w:r w:rsidRPr="009C7F49">
        <w:rPr>
          <w:rFonts w:ascii="Calibri" w:eastAsia="Calibri" w:hAnsi="Calibri" w:cs="Times New Roman"/>
          <w:i/>
          <w:iCs/>
          <w:sz w:val="24"/>
          <w:szCs w:val="24"/>
          <w14:ligatures w14:val="none"/>
        </w:rPr>
        <w:t>becoming</w:t>
      </w:r>
      <w:r w:rsidRPr="009C7F49">
        <w:rPr>
          <w:rFonts w:ascii="Calibri" w:eastAsia="Calibri" w:hAnsi="Calibri" w:cs="Times New Roman"/>
          <w:sz w:val="24"/>
          <w:szCs w:val="24"/>
          <w14:ligatures w14:val="none"/>
        </w:rPr>
        <w:t xml:space="preserve"> (known graphically as the double arrow =&gt;): retransition=&gt;a; b is </w:t>
      </w:r>
      <w:r w:rsidRPr="009C7F49">
        <w:rPr>
          <w:rFonts w:ascii="Calibri" w:eastAsia="Calibri" w:hAnsi="Calibri" w:cs="Times New Roman"/>
          <w:sz w:val="24"/>
          <w:szCs w:val="24"/>
          <w14:ligatures w14:val="none"/>
        </w:rPr>
        <w:lastRenderedPageBreak/>
        <w:t xml:space="preserve">still b; and a’=&gt;post-cadential. This is the kind of recapitulatory </w:t>
      </w:r>
      <w:proofErr w:type="spellStart"/>
      <w:r w:rsidRPr="009C7F49">
        <w:rPr>
          <w:rFonts w:ascii="Calibri" w:eastAsia="Calibri" w:hAnsi="Calibri" w:cs="Times New Roman"/>
          <w:sz w:val="24"/>
          <w:szCs w:val="24"/>
          <w14:ligatures w14:val="none"/>
        </w:rPr>
        <w:t>recomposition</w:t>
      </w:r>
      <w:proofErr w:type="spellEnd"/>
      <w:r w:rsidRPr="009C7F49">
        <w:rPr>
          <w:rFonts w:ascii="Calibri" w:eastAsia="Calibri" w:hAnsi="Calibri" w:cs="Times New Roman"/>
          <w:sz w:val="24"/>
          <w:szCs w:val="24"/>
          <w14:ligatures w14:val="none"/>
        </w:rPr>
        <w:t xml:space="preserve"> that Ellen Bakulina (2020, 72) terms a </w:t>
      </w:r>
      <w:r w:rsidRPr="009C7F49">
        <w:rPr>
          <w:rFonts w:ascii="Calibri" w:eastAsia="Calibri" w:hAnsi="Calibri" w:cs="Times New Roman"/>
          <w:i/>
          <w:iCs/>
          <w:sz w:val="24"/>
          <w:szCs w:val="24"/>
          <w14:ligatures w14:val="none"/>
        </w:rPr>
        <w:t>dissolving recapitulation</w:t>
      </w:r>
      <w:r w:rsidRPr="009C7F49">
        <w:rPr>
          <w:rFonts w:ascii="Calibri" w:eastAsia="Calibri" w:hAnsi="Calibri" w:cs="Times New Roman"/>
          <w:sz w:val="24"/>
          <w:szCs w:val="24"/>
          <w14:ligatures w14:val="none"/>
        </w:rPr>
        <w:t xml:space="preserve"> (most typical for Rachmaninoff’s solo songs). The becoming, or transformation of formal function, is perhaps </w:t>
      </w:r>
      <w:r w:rsidRPr="009C7F49">
        <w:rPr>
          <w:rFonts w:ascii="Calibri" w:eastAsia="Calibri" w:hAnsi="Calibri" w:cs="Times New Roman"/>
          <w:i/>
          <w:iCs/>
          <w:sz w:val="24"/>
          <w:szCs w:val="24"/>
          <w14:ligatures w14:val="none"/>
        </w:rPr>
        <w:t>the</w:t>
      </w:r>
      <w:r w:rsidRPr="009C7F49">
        <w:rPr>
          <w:rFonts w:ascii="Calibri" w:eastAsia="Calibri" w:hAnsi="Calibri" w:cs="Times New Roman"/>
          <w:sz w:val="24"/>
          <w:szCs w:val="24"/>
          <w14:ligatures w14:val="none"/>
        </w:rPr>
        <w:t xml:space="preserve"> most Romantic formal feature in this work. </w:t>
      </w:r>
    </w:p>
    <w:p w14:paraId="5209C90E" w14:textId="77777777"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The retransition=&gt;a requires some comment, as it also helps understand why the anomalous 2/4 measures disappear. The reason is the </w:t>
      </w:r>
      <w:proofErr w:type="gramStart"/>
      <w:r w:rsidRPr="009C7F49">
        <w:rPr>
          <w:rFonts w:ascii="Calibri" w:eastAsia="Calibri" w:hAnsi="Calibri" w:cs="Times New Roman"/>
          <w:sz w:val="24"/>
          <w:szCs w:val="24"/>
          <w14:ligatures w14:val="none"/>
        </w:rPr>
        <w:t>near-absence</w:t>
      </w:r>
      <w:proofErr w:type="gramEnd"/>
      <w:r w:rsidRPr="009C7F49">
        <w:rPr>
          <w:rFonts w:ascii="Calibri" w:eastAsia="Calibri" w:hAnsi="Calibri" w:cs="Times New Roman"/>
          <w:sz w:val="24"/>
          <w:szCs w:val="24"/>
          <w14:ligatures w14:val="none"/>
        </w:rPr>
        <w:t xml:space="preserve"> of thematic material in the recapitulation. At the prelude’s beginning, each extra half-note occurs at the form-functional junction of framing and thematic material. In the recapitulation, however, the identity of these two types of material collapses. When the opening arpeggiated motive comes back after the middle section, one expects that this material is still introductory with respect to the structural period. At the same time this passage is </w:t>
      </w:r>
      <w:proofErr w:type="spellStart"/>
      <w:proofErr w:type="gramStart"/>
      <w:r w:rsidRPr="009C7F49">
        <w:rPr>
          <w:rFonts w:ascii="Calibri" w:eastAsia="Calibri" w:hAnsi="Calibri" w:cs="Times New Roman"/>
          <w:sz w:val="24"/>
          <w:szCs w:val="24"/>
          <w14:ligatures w14:val="none"/>
        </w:rPr>
        <w:t>retransitional</w:t>
      </w:r>
      <w:proofErr w:type="spellEnd"/>
      <w:r w:rsidRPr="009C7F49">
        <w:rPr>
          <w:rFonts w:ascii="Calibri" w:eastAsia="Calibri" w:hAnsi="Calibri" w:cs="Times New Roman"/>
          <w:sz w:val="24"/>
          <w:szCs w:val="24"/>
          <w14:ligatures w14:val="none"/>
        </w:rPr>
        <w:t>, since</w:t>
      </w:r>
      <w:proofErr w:type="gramEnd"/>
      <w:r w:rsidRPr="009C7F49">
        <w:rPr>
          <w:rFonts w:ascii="Calibri" w:eastAsia="Calibri" w:hAnsi="Calibri" w:cs="Times New Roman"/>
          <w:sz w:val="24"/>
          <w:szCs w:val="24"/>
          <w14:ligatures w14:val="none"/>
        </w:rPr>
        <w:t xml:space="preserve"> it begins on the B section’s last harmony (V) and sequentially proceeds towards the tonic. But neither the antecedent nor consequent of the initial period ever comes back, and we </w:t>
      </w:r>
      <w:r w:rsidRPr="009C7F49">
        <w:rPr>
          <w:rFonts w:ascii="Calibri" w:eastAsia="Calibri" w:hAnsi="Calibri" w:cs="Times New Roman"/>
          <w:i/>
          <w:iCs/>
          <w:sz w:val="24"/>
          <w:szCs w:val="24"/>
          <w14:ligatures w14:val="none"/>
        </w:rPr>
        <w:t>reinterpret</w:t>
      </w:r>
      <w:r w:rsidRPr="009C7F49">
        <w:rPr>
          <w:rFonts w:ascii="Calibri" w:eastAsia="Calibri" w:hAnsi="Calibri" w:cs="Times New Roman"/>
          <w:sz w:val="24"/>
          <w:szCs w:val="24"/>
          <w14:ligatures w14:val="none"/>
        </w:rPr>
        <w:t xml:space="preserve"> (hence the becoming sign) the arpeggiated framing material as essential to the recapitulation.</w:t>
      </w:r>
      <w:r w:rsidRPr="009C7F49">
        <w:rPr>
          <w:rFonts w:ascii="Calibri" w:eastAsia="Calibri" w:hAnsi="Calibri" w:cs="Times New Roman"/>
          <w:sz w:val="24"/>
          <w:szCs w:val="24"/>
          <w:vertAlign w:val="superscript"/>
          <w14:ligatures w14:val="none"/>
        </w:rPr>
        <w:footnoteReference w:id="9"/>
      </w:r>
      <w:r w:rsidRPr="009C7F49">
        <w:rPr>
          <w:rFonts w:ascii="Calibri" w:eastAsia="Calibri" w:hAnsi="Calibri" w:cs="Times New Roman"/>
          <w:sz w:val="24"/>
          <w:szCs w:val="24"/>
          <w14:ligatures w14:val="none"/>
        </w:rPr>
        <w:t xml:space="preserve"> Russian theorist Valentina </w:t>
      </w:r>
      <w:proofErr w:type="spellStart"/>
      <w:r w:rsidRPr="009C7F49">
        <w:rPr>
          <w:rFonts w:ascii="Calibri" w:eastAsia="Calibri" w:hAnsi="Calibri" w:cs="Times New Roman"/>
          <w:sz w:val="24"/>
          <w:szCs w:val="24"/>
          <w14:ligatures w14:val="none"/>
        </w:rPr>
        <w:t>Kholopova</w:t>
      </w:r>
      <w:proofErr w:type="spellEnd"/>
      <w:r w:rsidRPr="009C7F49">
        <w:rPr>
          <w:rFonts w:ascii="Calibri" w:eastAsia="Calibri" w:hAnsi="Calibri" w:cs="Times New Roman"/>
          <w:sz w:val="24"/>
          <w:szCs w:val="24"/>
          <w14:ligatures w14:val="none"/>
        </w:rPr>
        <w:t xml:space="preserve"> (1979) calls such situations </w:t>
      </w:r>
      <w:r w:rsidRPr="009C7F49">
        <w:rPr>
          <w:rFonts w:ascii="Calibri" w:eastAsia="Calibri" w:hAnsi="Calibri" w:cs="Times New Roman"/>
          <w:i/>
          <w:iCs/>
          <w:sz w:val="24"/>
          <w:szCs w:val="24"/>
          <w14:ligatures w14:val="none"/>
        </w:rPr>
        <w:t>thematized texture</w:t>
      </w:r>
      <w:r w:rsidRPr="009C7F49">
        <w:rPr>
          <w:rFonts w:ascii="Calibri" w:eastAsia="Calibri" w:hAnsi="Calibri" w:cs="Times New Roman"/>
          <w:sz w:val="24"/>
          <w:szCs w:val="24"/>
          <w14:ligatures w14:val="none"/>
        </w:rPr>
        <w:t xml:space="preserve"> (</w:t>
      </w:r>
      <w:proofErr w:type="spellStart"/>
      <w:r w:rsidRPr="009C7F49">
        <w:rPr>
          <w:rFonts w:ascii="Calibri" w:eastAsia="Calibri" w:hAnsi="Calibri" w:cs="Times New Roman"/>
          <w:sz w:val="24"/>
          <w:szCs w:val="24"/>
          <w14:ligatures w14:val="none"/>
        </w:rPr>
        <w:t>tematezirovannaya</w:t>
      </w:r>
      <w:proofErr w:type="spellEnd"/>
      <w:r w:rsidRPr="009C7F49">
        <w:rPr>
          <w:rFonts w:ascii="Calibri" w:eastAsia="Calibri" w:hAnsi="Calibri" w:cs="Times New Roman"/>
          <w:sz w:val="24"/>
          <w:szCs w:val="24"/>
          <w14:ligatures w14:val="none"/>
        </w:rPr>
        <w:t xml:space="preserve"> faktura), a textural pattern made prominent enough to sound thematic. The extra beat no longer occurs because its original form-functional context—the collision of essential and non-essential material—is gone. Example 5 shows the moment where the “framing material” continues past its original length, and the listener gradually realizes that the former antecedent is not coming </w:t>
      </w:r>
      <w:r w:rsidRPr="009C7F49">
        <w:rPr>
          <w:rFonts w:ascii="Calibri" w:eastAsia="Calibri" w:hAnsi="Calibri" w:cs="Times New Roman"/>
          <w:sz w:val="24"/>
          <w:szCs w:val="24"/>
          <w14:ligatures w14:val="none"/>
        </w:rPr>
        <w:lastRenderedPageBreak/>
        <w:t>back. This is a formal surprise, but it removes all the phrase-rhythmic surprises. The recapitulation is completely regular up to the level of four half-notes, an inexorable, rhythmically undisturbed drive towards the final cadence at m. 72.</w:t>
      </w:r>
      <w:r w:rsidRPr="009C7F49">
        <w:rPr>
          <w:rFonts w:ascii="Calibri" w:eastAsia="Calibri" w:hAnsi="Calibri" w:cs="Times New Roman"/>
          <w:sz w:val="24"/>
          <w:szCs w:val="24"/>
          <w:vertAlign w:val="superscript"/>
          <w14:ligatures w14:val="none"/>
        </w:rPr>
        <w:footnoteReference w:id="10"/>
      </w:r>
      <w:r w:rsidRPr="009C7F49">
        <w:rPr>
          <w:rFonts w:ascii="Calibri" w:eastAsia="Calibri" w:hAnsi="Calibri" w:cs="Times New Roman"/>
          <w:sz w:val="24"/>
          <w:szCs w:val="24"/>
          <w14:ligatures w14:val="none"/>
        </w:rPr>
        <w:t xml:space="preserve"> </w:t>
      </w:r>
    </w:p>
    <w:p w14:paraId="5C730F9A" w14:textId="77777777"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And here is a final point about the recapitulation that ties into the metrical questions of the beginning: the cadence of the retransition=&gt;a section, PAC in m. 63. Its location in the recapitulation corresponds to the PAC in m. 16 in the A section, the focus of the phrase-rhythmic mysteries discussed earlier. Example 6 places the two cadences side by side for comparison. In m. 16, the half-note unit that contains the V–I cadential progression is notated as a strong beat, suggesting an end-accented vision of the periodic phrases. In the recapitulatory m. 63, the corresponding unit falls on the weak part of the 4/4 measure, thus suggesting a beginning-accented version. True, the recapitulation contains enough changes to possibly hear these two “a” </w:t>
      </w:r>
      <w:proofErr w:type="gramStart"/>
      <w:r w:rsidRPr="009C7F49">
        <w:rPr>
          <w:rFonts w:ascii="Calibri" w:eastAsia="Calibri" w:hAnsi="Calibri" w:cs="Times New Roman"/>
          <w:sz w:val="24"/>
          <w:szCs w:val="24"/>
          <w14:ligatures w14:val="none"/>
        </w:rPr>
        <w:t>sections</w:t>
      </w:r>
      <w:proofErr w:type="gramEnd"/>
      <w:r w:rsidRPr="009C7F49">
        <w:rPr>
          <w:rFonts w:ascii="Calibri" w:eastAsia="Calibri" w:hAnsi="Calibri" w:cs="Times New Roman"/>
          <w:sz w:val="24"/>
          <w:szCs w:val="24"/>
          <w14:ligatures w14:val="none"/>
        </w:rPr>
        <w:t xml:space="preserve"> as largely unrelated. And yet, the two PACs in 16 and 63 are correlated based on their analogous formal placement and their rhythmic and harmonic similarity. This suggests that, after all, Rachmaninoff might have meant </w:t>
      </w:r>
      <w:r w:rsidRPr="009C7F49">
        <w:rPr>
          <w:rFonts w:ascii="Calibri" w:eastAsia="Calibri" w:hAnsi="Calibri" w:cs="Times New Roman"/>
          <w:i/>
          <w:iCs/>
          <w:sz w:val="24"/>
          <w:szCs w:val="24"/>
          <w14:ligatures w14:val="none"/>
        </w:rPr>
        <w:t>both</w:t>
      </w:r>
      <w:r w:rsidRPr="009C7F49">
        <w:rPr>
          <w:rFonts w:ascii="Calibri" w:eastAsia="Calibri" w:hAnsi="Calibri" w:cs="Times New Roman"/>
          <w:sz w:val="24"/>
          <w:szCs w:val="24"/>
          <w14:ligatures w14:val="none"/>
        </w:rPr>
        <w:t xml:space="preserve"> these cadential segments as metrically weak, and their corresponding phrase beginnings as strong, </w:t>
      </w:r>
      <w:proofErr w:type="gramStart"/>
      <w:r w:rsidRPr="009C7F49">
        <w:rPr>
          <w:rFonts w:ascii="Calibri" w:eastAsia="Calibri" w:hAnsi="Calibri" w:cs="Times New Roman"/>
          <w:sz w:val="24"/>
          <w:szCs w:val="24"/>
          <w14:ligatures w14:val="none"/>
        </w:rPr>
        <w:t>in spite of</w:t>
      </w:r>
      <w:proofErr w:type="gramEnd"/>
      <w:r w:rsidRPr="009C7F49">
        <w:rPr>
          <w:rFonts w:ascii="Calibri" w:eastAsia="Calibri" w:hAnsi="Calibri" w:cs="Times New Roman"/>
          <w:sz w:val="24"/>
          <w:szCs w:val="24"/>
          <w14:ligatures w14:val="none"/>
        </w:rPr>
        <w:t xml:space="preserve"> his bar-line placement in the opening section. This, in its turn, supports my idea (Example 4) that the “real” anomalous 2/4 measure should occur at the end of the brief thematic introduction, around the notated measures 3 and 12, and </w:t>
      </w:r>
      <w:r w:rsidRPr="009C7F49">
        <w:rPr>
          <w:rFonts w:ascii="Calibri" w:eastAsia="Calibri" w:hAnsi="Calibri" w:cs="Times New Roman"/>
          <w:i/>
          <w:iCs/>
          <w:sz w:val="24"/>
          <w:szCs w:val="24"/>
          <w14:ligatures w14:val="none"/>
        </w:rPr>
        <w:t>not</w:t>
      </w:r>
      <w:r w:rsidRPr="009C7F49">
        <w:rPr>
          <w:rFonts w:ascii="Calibri" w:eastAsia="Calibri" w:hAnsi="Calibri" w:cs="Times New Roman"/>
          <w:sz w:val="24"/>
          <w:szCs w:val="24"/>
          <w14:ligatures w14:val="none"/>
        </w:rPr>
        <w:t xml:space="preserve"> where the composer notates them! One might perhaps see m. 63 as the answer to the questions posed by the initial section: </w:t>
      </w:r>
      <w:r w:rsidRPr="009C7F49">
        <w:rPr>
          <w:rFonts w:ascii="Calibri" w:eastAsia="Calibri" w:hAnsi="Calibri" w:cs="Times New Roman"/>
          <w:sz w:val="24"/>
          <w:szCs w:val="24"/>
          <w14:ligatures w14:val="none"/>
        </w:rPr>
        <w:lastRenderedPageBreak/>
        <w:t>how the accents are arranged within the structural period, and how they interact with the extra beat, the resulting metrical reinterpretations, and the anomalous 2/4 measure.</w:t>
      </w:r>
    </w:p>
    <w:p w14:paraId="561568E6" w14:textId="290B0A2D" w:rsidR="005D5DEC"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In summary, I have argued that the opening </w:t>
      </w:r>
      <w:r w:rsidR="005D5DEC">
        <w:rPr>
          <w:rFonts w:ascii="Calibri" w:eastAsia="Calibri" w:hAnsi="Calibri" w:cs="Times New Roman"/>
          <w:sz w:val="24"/>
          <w:szCs w:val="24"/>
          <w14:ligatures w14:val="none"/>
        </w:rPr>
        <w:t xml:space="preserve">section </w:t>
      </w:r>
      <w:r w:rsidRPr="009C7F49">
        <w:rPr>
          <w:rFonts w:ascii="Calibri" w:eastAsia="Calibri" w:hAnsi="Calibri" w:cs="Times New Roman"/>
          <w:sz w:val="24"/>
          <w:szCs w:val="24"/>
          <w14:ligatures w14:val="none"/>
        </w:rPr>
        <w:t>of the prelude contains a</w:t>
      </w:r>
      <w:r w:rsidR="005D5DEC">
        <w:rPr>
          <w:rFonts w:ascii="Calibri" w:eastAsia="Calibri" w:hAnsi="Calibri" w:cs="Times New Roman"/>
          <w:sz w:val="24"/>
          <w:szCs w:val="24"/>
          <w14:ligatures w14:val="none"/>
        </w:rPr>
        <w:t xml:space="preserve"> somewhat </w:t>
      </w:r>
      <w:r w:rsidRPr="009C7F49">
        <w:rPr>
          <w:rFonts w:ascii="Calibri" w:eastAsia="Calibri" w:hAnsi="Calibri" w:cs="Times New Roman"/>
          <w:sz w:val="24"/>
          <w:szCs w:val="24"/>
          <w14:ligatures w14:val="none"/>
        </w:rPr>
        <w:t xml:space="preserve"> hidden</w:t>
      </w:r>
      <w:r w:rsidR="005D5DEC">
        <w:rPr>
          <w:rFonts w:ascii="Calibri" w:eastAsia="Calibri" w:hAnsi="Calibri" w:cs="Times New Roman"/>
          <w:sz w:val="24"/>
          <w:szCs w:val="24"/>
          <w14:ligatures w14:val="none"/>
        </w:rPr>
        <w:t xml:space="preserve"> symmetrical</w:t>
      </w:r>
      <w:r w:rsidRPr="009C7F49">
        <w:rPr>
          <w:rFonts w:ascii="Calibri" w:eastAsia="Calibri" w:hAnsi="Calibri" w:cs="Times New Roman"/>
          <w:sz w:val="24"/>
          <w:szCs w:val="24"/>
          <w14:ligatures w14:val="none"/>
        </w:rPr>
        <w:t xml:space="preserve"> period; that the extra half-note occurs in the two local introductions within this period; that the comparison of sections A and A’ suggest a change of time signature in mm. 3 and 11 (as opposed to 9 and 16); and that the disappearance of this metrical disturbance in the recapitulation is due to the dissolution of the initial structural period. In conclusion, I wish to emphasize that</w:t>
      </w:r>
      <w:r w:rsidR="005D5DEC">
        <w:rPr>
          <w:rFonts w:ascii="Calibri" w:eastAsia="Calibri" w:hAnsi="Calibri" w:cs="Times New Roman"/>
          <w:sz w:val="24"/>
          <w:szCs w:val="24"/>
          <w14:ligatures w14:val="none"/>
        </w:rPr>
        <w:t xml:space="preserve"> one could not fully understand the interconnection of all these issues without considering meter and form together. </w:t>
      </w:r>
    </w:p>
    <w:p w14:paraId="5AB42538" w14:textId="77777777" w:rsidR="009C7F49" w:rsidRDefault="009C7F49" w:rsidP="009C7F49">
      <w:pPr>
        <w:spacing w:after="0" w:line="480" w:lineRule="auto"/>
        <w:rPr>
          <w:rFonts w:ascii="Calibri" w:eastAsia="Calibri" w:hAnsi="Calibri" w:cs="Times New Roman"/>
          <w:sz w:val="24"/>
          <w:szCs w:val="24"/>
          <w14:ligatures w14:val="none"/>
        </w:rPr>
      </w:pPr>
    </w:p>
    <w:p w14:paraId="6CF7B644" w14:textId="77777777" w:rsidR="009C7F49" w:rsidRDefault="009C7F49" w:rsidP="009C7F49">
      <w:pPr>
        <w:spacing w:after="0" w:line="480" w:lineRule="auto"/>
        <w:rPr>
          <w:rFonts w:ascii="Calibri" w:eastAsia="Calibri" w:hAnsi="Calibri" w:cs="Times New Roman"/>
          <w:sz w:val="24"/>
          <w:szCs w:val="24"/>
          <w14:ligatures w14:val="none"/>
        </w:rPr>
      </w:pPr>
    </w:p>
    <w:p w14:paraId="11CEB895" w14:textId="77777777" w:rsidR="009C7F49" w:rsidRPr="009C7F49" w:rsidRDefault="009C7F49" w:rsidP="009C7F49">
      <w:pPr>
        <w:spacing w:after="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Works Cited</w:t>
      </w:r>
    </w:p>
    <w:p w14:paraId="428BD7BD" w14:textId="77777777" w:rsidR="009C7F49" w:rsidRPr="009C7F49" w:rsidRDefault="009C7F49" w:rsidP="009C7F49">
      <w:pPr>
        <w:spacing w:after="0"/>
        <w:rPr>
          <w:rFonts w:ascii="Calibri" w:eastAsia="Calibri" w:hAnsi="Calibri" w:cs="Times New Roman"/>
          <w:sz w:val="24"/>
          <w:szCs w:val="24"/>
          <w14:ligatures w14:val="none"/>
        </w:rPr>
      </w:pPr>
    </w:p>
    <w:p w14:paraId="09E03C90" w14:textId="77777777" w:rsidR="009C7F49" w:rsidRPr="009C7F49" w:rsidRDefault="009C7F49" w:rsidP="009C7F49">
      <w:pPr>
        <w:spacing w:after="0" w:line="480" w:lineRule="auto"/>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Bakulina, Ellen. 2020. "The Loosening of Closure: </w:t>
      </w:r>
      <w:proofErr w:type="gramStart"/>
      <w:r w:rsidRPr="009C7F49">
        <w:rPr>
          <w:rFonts w:ascii="Calibri" w:eastAsia="Calibri" w:hAnsi="Calibri" w:cs="Times New Roman"/>
          <w:sz w:val="24"/>
          <w:szCs w:val="24"/>
          <w14:ligatures w14:val="none"/>
        </w:rPr>
        <w:t>a</w:t>
      </w:r>
      <w:proofErr w:type="gramEnd"/>
      <w:r w:rsidRPr="009C7F49">
        <w:rPr>
          <w:rFonts w:ascii="Calibri" w:eastAsia="Calibri" w:hAnsi="Calibri" w:cs="Times New Roman"/>
          <w:sz w:val="24"/>
          <w:szCs w:val="24"/>
          <w14:ligatures w14:val="none"/>
        </w:rPr>
        <w:t xml:space="preserve"> Form-Functional Study of Sergei </w:t>
      </w:r>
    </w:p>
    <w:p w14:paraId="7A801E0D" w14:textId="77777777"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Rachmaninoff’s Solo Songs." </w:t>
      </w:r>
      <w:r w:rsidRPr="009C7F49">
        <w:rPr>
          <w:rFonts w:ascii="Calibri" w:eastAsia="Calibri" w:hAnsi="Calibri" w:cs="Times New Roman"/>
          <w:i/>
          <w:iCs/>
          <w:sz w:val="24"/>
          <w:szCs w:val="24"/>
          <w14:ligatures w14:val="none"/>
        </w:rPr>
        <w:t>Theory and Practice</w:t>
      </w:r>
      <w:r w:rsidRPr="009C7F49">
        <w:rPr>
          <w:rFonts w:ascii="Calibri" w:eastAsia="Calibri" w:hAnsi="Calibri" w:cs="Times New Roman"/>
          <w:sz w:val="24"/>
          <w:szCs w:val="24"/>
          <w14:ligatures w14:val="none"/>
        </w:rPr>
        <w:t> 45: 51–92.</w:t>
      </w:r>
    </w:p>
    <w:p w14:paraId="200DCC57" w14:textId="77777777" w:rsidR="009C7F49" w:rsidRPr="009C7F49" w:rsidRDefault="009C7F49" w:rsidP="009C7F49">
      <w:pPr>
        <w:spacing w:after="0" w:line="480" w:lineRule="auto"/>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Burstein, L. </w:t>
      </w:r>
      <w:proofErr w:type="spellStart"/>
      <w:r w:rsidRPr="009C7F49">
        <w:rPr>
          <w:rFonts w:ascii="Calibri" w:eastAsia="Calibri" w:hAnsi="Calibri" w:cs="Times New Roman"/>
          <w:sz w:val="24"/>
          <w:szCs w:val="24"/>
          <w14:ligatures w14:val="none"/>
        </w:rPr>
        <w:t>Poundie</w:t>
      </w:r>
      <w:proofErr w:type="spellEnd"/>
      <w:r w:rsidRPr="009C7F49">
        <w:rPr>
          <w:rFonts w:ascii="Calibri" w:eastAsia="Calibri" w:hAnsi="Calibri" w:cs="Times New Roman"/>
          <w:sz w:val="24"/>
          <w:szCs w:val="24"/>
          <w14:ligatures w14:val="none"/>
        </w:rPr>
        <w:t>. 2024. “</w:t>
      </w:r>
      <w:r w:rsidRPr="009C7F49">
        <w:rPr>
          <w:rFonts w:ascii="Calibri" w:eastAsia="Calibri" w:hAnsi="Calibri" w:cs="Times New Roman" w:hint="eastAsia"/>
          <w:sz w:val="24"/>
          <w:szCs w:val="24"/>
          <w14:ligatures w14:val="none"/>
        </w:rPr>
        <w:t xml:space="preserve">The Best Laid Plans . . . and Others: An 18th-Century Compositional </w:t>
      </w:r>
    </w:p>
    <w:p w14:paraId="4C64E392" w14:textId="77777777"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hint="eastAsia"/>
          <w:sz w:val="24"/>
          <w:szCs w:val="24"/>
          <w14:ligatures w14:val="none"/>
        </w:rPr>
        <w:t>Outline</w:t>
      </w:r>
      <w:r w:rsidRPr="009C7F49">
        <w:rPr>
          <w:rFonts w:ascii="Calibri" w:eastAsia="Calibri" w:hAnsi="Calibri" w:cs="Times New Roman"/>
          <w:sz w:val="24"/>
          <w:szCs w:val="24"/>
          <w14:ligatures w14:val="none"/>
        </w:rPr>
        <w:t xml:space="preserve">.” SMT-V 10:1 (January 2024). </w:t>
      </w:r>
    </w:p>
    <w:p w14:paraId="557B3A32" w14:textId="77777777" w:rsidR="009C7F49" w:rsidRPr="009C7F49" w:rsidRDefault="009C7F49" w:rsidP="009C7F49">
      <w:pPr>
        <w:spacing w:after="0" w:line="480" w:lineRule="auto"/>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Caplin, William E. 1998. </w:t>
      </w:r>
      <w:r w:rsidRPr="009C7F49">
        <w:rPr>
          <w:rFonts w:ascii="Calibri" w:eastAsia="Calibri" w:hAnsi="Calibri" w:cs="Times New Roman"/>
          <w:i/>
          <w:iCs/>
          <w:sz w:val="24"/>
          <w:szCs w:val="24"/>
          <w14:ligatures w14:val="none"/>
        </w:rPr>
        <w:t xml:space="preserve">Classical From: A Theory of Formal Function for the Instrumental Music </w:t>
      </w:r>
      <w:r w:rsidRPr="009C7F49">
        <w:rPr>
          <w:rFonts w:ascii="Calibri" w:eastAsia="Calibri" w:hAnsi="Calibri" w:cs="Times New Roman"/>
          <w:i/>
          <w:iCs/>
          <w:sz w:val="24"/>
          <w:szCs w:val="24"/>
          <w14:ligatures w14:val="none"/>
        </w:rPr>
        <w:tab/>
        <w:t>of Haydn, Mozart, and Beethoven</w:t>
      </w:r>
      <w:r w:rsidRPr="009C7F49">
        <w:rPr>
          <w:rFonts w:ascii="Calibri" w:eastAsia="Calibri" w:hAnsi="Calibri" w:cs="Times New Roman"/>
          <w:sz w:val="24"/>
          <w:szCs w:val="24"/>
          <w14:ligatures w14:val="none"/>
        </w:rPr>
        <w:t xml:space="preserve">. Oxford University Press. </w:t>
      </w:r>
    </w:p>
    <w:p w14:paraId="7374680D" w14:textId="77777777" w:rsidR="009C7F49" w:rsidRPr="009C7F49" w:rsidRDefault="009C7F49" w:rsidP="009C7F49">
      <w:pPr>
        <w:spacing w:after="0" w:line="480" w:lineRule="auto"/>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_______. 2013. </w:t>
      </w:r>
      <w:r w:rsidRPr="009C7F49">
        <w:rPr>
          <w:rFonts w:ascii="Calibri" w:eastAsia="Calibri" w:hAnsi="Calibri" w:cs="Times New Roman"/>
          <w:i/>
          <w:iCs/>
          <w:sz w:val="24"/>
          <w:szCs w:val="24"/>
          <w14:ligatures w14:val="none"/>
        </w:rPr>
        <w:t xml:space="preserve">Analyzing Classical Form: An Approach for the Classroom. </w:t>
      </w:r>
      <w:r w:rsidRPr="009C7F49">
        <w:rPr>
          <w:rFonts w:ascii="Calibri" w:eastAsia="Calibri" w:hAnsi="Calibri" w:cs="Times New Roman"/>
          <w:sz w:val="24"/>
          <w:szCs w:val="24"/>
          <w14:ligatures w14:val="none"/>
        </w:rPr>
        <w:t xml:space="preserve">Oxford University </w:t>
      </w:r>
    </w:p>
    <w:p w14:paraId="53C8BD66" w14:textId="77777777"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Press.</w:t>
      </w:r>
    </w:p>
    <w:p w14:paraId="5716C380" w14:textId="77777777" w:rsidR="009C7F49" w:rsidRPr="009C7F49" w:rsidRDefault="009C7F49" w:rsidP="009C7F49">
      <w:pPr>
        <w:spacing w:after="0" w:line="480" w:lineRule="auto"/>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Grave, Floyd. 1985. “Metrical Displacement and the Compound Measure in Eighteenth- Century </w:t>
      </w:r>
      <w:r w:rsidRPr="009C7F49">
        <w:rPr>
          <w:rFonts w:ascii="Calibri" w:eastAsia="Calibri" w:hAnsi="Calibri" w:cs="Times New Roman"/>
          <w:sz w:val="24"/>
          <w:szCs w:val="24"/>
          <w14:ligatures w14:val="none"/>
        </w:rPr>
        <w:tab/>
        <w:t>Theory and Practice.” </w:t>
      </w:r>
      <w:r w:rsidRPr="009C7F49">
        <w:rPr>
          <w:rFonts w:ascii="Calibri" w:eastAsia="Calibri" w:hAnsi="Calibri" w:cs="Times New Roman"/>
          <w:i/>
          <w:iCs/>
          <w:sz w:val="24"/>
          <w:szCs w:val="24"/>
          <w14:ligatures w14:val="none"/>
        </w:rPr>
        <w:t>Theoria</w:t>
      </w:r>
      <w:r w:rsidRPr="009C7F49">
        <w:rPr>
          <w:rFonts w:ascii="Calibri" w:eastAsia="Calibri" w:hAnsi="Calibri" w:cs="Times New Roman"/>
          <w:sz w:val="24"/>
          <w:szCs w:val="24"/>
          <w14:ligatures w14:val="none"/>
        </w:rPr>
        <w:t xml:space="preserve"> 1: 25–60. </w:t>
      </w:r>
    </w:p>
    <w:p w14:paraId="1F56F05A" w14:textId="77777777" w:rsidR="009C7F49" w:rsidRPr="009C7F49" w:rsidRDefault="009C7F49" w:rsidP="009C7F49">
      <w:pPr>
        <w:spacing w:after="0" w:line="480" w:lineRule="auto"/>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lastRenderedPageBreak/>
        <w:t xml:space="preserve">Horton, Julian. 2015. “Formal Type and Formal Function in the Post-Classical Piano Concerto.” In </w:t>
      </w:r>
    </w:p>
    <w:p w14:paraId="654F60EB" w14:textId="77777777" w:rsidR="009C7F49" w:rsidRPr="009C7F49" w:rsidRDefault="009C7F49" w:rsidP="009C7F49">
      <w:pPr>
        <w:spacing w:after="0" w:line="480" w:lineRule="auto"/>
        <w:ind w:firstLine="720"/>
        <w:rPr>
          <w:rFonts w:ascii="Calibri" w:eastAsia="Calibri" w:hAnsi="Calibri" w:cs="Times New Roman"/>
          <w:sz w:val="24"/>
          <w:szCs w:val="24"/>
          <w14:ligatures w14:val="none"/>
        </w:rPr>
      </w:pPr>
      <w:r w:rsidRPr="009C7F49">
        <w:rPr>
          <w:rFonts w:ascii="Calibri" w:eastAsia="Calibri" w:hAnsi="Calibri" w:cs="Times New Roman"/>
          <w:i/>
          <w:iCs/>
          <w:sz w:val="24"/>
          <w:szCs w:val="24"/>
          <w14:ligatures w14:val="none"/>
        </w:rPr>
        <w:t>Formal Functions in Perspective: Essays on Music Form from Haydn to Adorno</w:t>
      </w:r>
      <w:r w:rsidRPr="009C7F49">
        <w:rPr>
          <w:rFonts w:ascii="Calibri" w:eastAsia="Calibri" w:hAnsi="Calibri" w:cs="Times New Roman"/>
          <w:sz w:val="24"/>
          <w:szCs w:val="24"/>
          <w14:ligatures w14:val="none"/>
        </w:rPr>
        <w:t xml:space="preserve">, ed. </w:t>
      </w:r>
    </w:p>
    <w:p w14:paraId="3146085D" w14:textId="77777777" w:rsidR="009C7F49" w:rsidRPr="009C7F49" w:rsidRDefault="009C7F49" w:rsidP="009C7F49">
      <w:pPr>
        <w:spacing w:after="0" w:line="480" w:lineRule="auto"/>
        <w:ind w:left="720"/>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Steven Vande </w:t>
      </w:r>
      <w:proofErr w:type="spellStart"/>
      <w:r w:rsidRPr="009C7F49">
        <w:rPr>
          <w:rFonts w:ascii="Calibri" w:eastAsia="Calibri" w:hAnsi="Calibri" w:cs="Times New Roman"/>
          <w:sz w:val="24"/>
          <w:szCs w:val="24"/>
          <w14:ligatures w14:val="none"/>
        </w:rPr>
        <w:t>Moortele</w:t>
      </w:r>
      <w:proofErr w:type="spellEnd"/>
      <w:r w:rsidRPr="009C7F49">
        <w:rPr>
          <w:rFonts w:ascii="Calibri" w:eastAsia="Calibri" w:hAnsi="Calibri" w:cs="Times New Roman"/>
          <w:sz w:val="24"/>
          <w:szCs w:val="24"/>
          <w14:ligatures w14:val="none"/>
        </w:rPr>
        <w:t xml:space="preserve">, Julie </w:t>
      </w:r>
      <w:proofErr w:type="spellStart"/>
      <w:r w:rsidRPr="009C7F49">
        <w:rPr>
          <w:rFonts w:ascii="Calibri" w:eastAsia="Calibri" w:hAnsi="Calibri" w:cs="Times New Roman"/>
          <w:sz w:val="24"/>
          <w:szCs w:val="24"/>
          <w14:ligatures w14:val="none"/>
        </w:rPr>
        <w:t>Pedneault</w:t>
      </w:r>
      <w:proofErr w:type="spellEnd"/>
      <w:r w:rsidRPr="009C7F49">
        <w:rPr>
          <w:rFonts w:ascii="Calibri" w:eastAsia="Calibri" w:hAnsi="Calibri" w:cs="Times New Roman"/>
          <w:sz w:val="24"/>
          <w:szCs w:val="24"/>
          <w14:ligatures w14:val="none"/>
        </w:rPr>
        <w:t xml:space="preserve">-Deslauriers, and Nathan John Martin: 77–122.  </w:t>
      </w:r>
    </w:p>
    <w:p w14:paraId="66BBAE53" w14:textId="159F2B0D" w:rsidR="009C7F49" w:rsidRPr="009C7F49" w:rsidRDefault="009C7F49" w:rsidP="009C7F49">
      <w:pPr>
        <w:spacing w:after="0" w:line="480" w:lineRule="auto"/>
        <w:rPr>
          <w:rFonts w:ascii="Calibri" w:eastAsia="Calibri" w:hAnsi="Calibri" w:cs="Times New Roman"/>
          <w:sz w:val="24"/>
          <w:szCs w:val="24"/>
          <w14:ligatures w14:val="none"/>
        </w:rPr>
      </w:pPr>
      <w:proofErr w:type="spellStart"/>
      <w:r w:rsidRPr="009C7F49">
        <w:rPr>
          <w:rFonts w:ascii="Calibri" w:eastAsia="Calibri" w:hAnsi="Calibri" w:cs="Times New Roman"/>
          <w:sz w:val="24"/>
          <w:szCs w:val="24"/>
          <w14:ligatures w14:val="none"/>
        </w:rPr>
        <w:t>Imbrie</w:t>
      </w:r>
      <w:proofErr w:type="spellEnd"/>
      <w:r w:rsidRPr="009C7F49">
        <w:rPr>
          <w:rFonts w:ascii="Calibri" w:eastAsia="Calibri" w:hAnsi="Calibri" w:cs="Times New Roman"/>
          <w:sz w:val="24"/>
          <w:szCs w:val="24"/>
          <w14:ligatures w14:val="none"/>
        </w:rPr>
        <w:t>, Andrew. 1973. “</w:t>
      </w:r>
      <w:r w:rsidR="001A0406">
        <w:rPr>
          <w:rFonts w:ascii="Calibri" w:eastAsia="Calibri" w:hAnsi="Calibri" w:cs="Times New Roman"/>
          <w:sz w:val="24"/>
          <w:szCs w:val="24"/>
          <w14:ligatures w14:val="none"/>
        </w:rPr>
        <w:t>’</w:t>
      </w:r>
      <w:r w:rsidRPr="009C7F49">
        <w:rPr>
          <w:rFonts w:ascii="Calibri" w:eastAsia="Calibri" w:hAnsi="Calibri" w:cs="Times New Roman"/>
          <w:sz w:val="24"/>
          <w:szCs w:val="24"/>
          <w14:ligatures w14:val="none"/>
        </w:rPr>
        <w:t>Extra</w:t>
      </w:r>
      <w:r w:rsidR="001A0406">
        <w:rPr>
          <w:rFonts w:ascii="Calibri" w:eastAsia="Calibri" w:hAnsi="Calibri" w:cs="Times New Roman"/>
          <w:sz w:val="24"/>
          <w:szCs w:val="24"/>
          <w14:ligatures w14:val="none"/>
        </w:rPr>
        <w:t>’</w:t>
      </w:r>
      <w:r w:rsidRPr="009C7F49">
        <w:rPr>
          <w:rFonts w:ascii="Calibri" w:eastAsia="Calibri" w:hAnsi="Calibri" w:cs="Times New Roman"/>
          <w:sz w:val="24"/>
          <w:szCs w:val="24"/>
          <w14:ligatures w14:val="none"/>
        </w:rPr>
        <w:t xml:space="preserve"> Measures and Metrical Ambiguity in Beethoven.” In </w:t>
      </w:r>
      <w:r w:rsidRPr="009C7F49">
        <w:rPr>
          <w:rFonts w:ascii="Calibri" w:eastAsia="Calibri" w:hAnsi="Calibri" w:cs="Times New Roman"/>
          <w:i/>
          <w:iCs/>
          <w:sz w:val="24"/>
          <w:szCs w:val="24"/>
          <w14:ligatures w14:val="none"/>
        </w:rPr>
        <w:t xml:space="preserve">Beethoven </w:t>
      </w:r>
      <w:r w:rsidRPr="009C7F49">
        <w:rPr>
          <w:rFonts w:ascii="Calibri" w:eastAsia="Calibri" w:hAnsi="Calibri" w:cs="Times New Roman"/>
          <w:i/>
          <w:iCs/>
          <w:sz w:val="24"/>
          <w:szCs w:val="24"/>
          <w14:ligatures w14:val="none"/>
        </w:rPr>
        <w:tab/>
        <w:t>Studies</w:t>
      </w:r>
      <w:r w:rsidRPr="009C7F49">
        <w:rPr>
          <w:rFonts w:ascii="Calibri" w:eastAsia="Calibri" w:hAnsi="Calibri" w:cs="Times New Roman"/>
          <w:sz w:val="24"/>
          <w:szCs w:val="24"/>
          <w14:ligatures w14:val="none"/>
        </w:rPr>
        <w:t xml:space="preserve">, ed. Alan Tyson: 45–66. Norton. </w:t>
      </w:r>
    </w:p>
    <w:p w14:paraId="491B9E7D" w14:textId="77777777" w:rsidR="009C7F49" w:rsidRPr="009C7F49" w:rsidRDefault="009C7F49" w:rsidP="009C7F49">
      <w:pPr>
        <w:spacing w:after="0" w:line="480" w:lineRule="auto"/>
        <w:rPr>
          <w:rFonts w:ascii="Calibri" w:eastAsia="Calibri" w:hAnsi="Calibri" w:cs="Times New Roman"/>
          <w:sz w:val="24"/>
          <w:szCs w:val="24"/>
          <w14:ligatures w14:val="none"/>
        </w:rPr>
      </w:pPr>
      <w:proofErr w:type="spellStart"/>
      <w:r w:rsidRPr="009C7F49">
        <w:rPr>
          <w:rFonts w:ascii="Calibri" w:eastAsia="Calibri" w:hAnsi="Calibri" w:cs="Times New Roman"/>
          <w:sz w:val="24"/>
          <w:szCs w:val="24"/>
          <w14:ligatures w14:val="none"/>
        </w:rPr>
        <w:t>Kholopova</w:t>
      </w:r>
      <w:proofErr w:type="spellEnd"/>
      <w:r w:rsidRPr="009C7F49">
        <w:rPr>
          <w:rFonts w:ascii="Calibri" w:eastAsia="Calibri" w:hAnsi="Calibri" w:cs="Times New Roman"/>
          <w:sz w:val="24"/>
          <w:szCs w:val="24"/>
          <w14:ligatures w14:val="none"/>
        </w:rPr>
        <w:t xml:space="preserve">, Valentina. 1979. </w:t>
      </w:r>
      <w:r w:rsidRPr="009C7F49">
        <w:rPr>
          <w:rFonts w:ascii="Calibri" w:eastAsia="Calibri" w:hAnsi="Calibri" w:cs="Times New Roman"/>
          <w:i/>
          <w:iCs/>
          <w:sz w:val="24"/>
          <w:szCs w:val="24"/>
          <w14:ligatures w14:val="none"/>
        </w:rPr>
        <w:t>Faktura</w:t>
      </w:r>
      <w:r w:rsidRPr="009C7F49">
        <w:rPr>
          <w:rFonts w:ascii="Calibri" w:eastAsia="Calibri" w:hAnsi="Calibri" w:cs="Times New Roman"/>
          <w:sz w:val="24"/>
          <w:szCs w:val="24"/>
          <w14:ligatures w14:val="none"/>
        </w:rPr>
        <w:t xml:space="preserve">. [Texture.] Moscow: </w:t>
      </w:r>
      <w:proofErr w:type="spellStart"/>
      <w:r w:rsidRPr="009C7F49">
        <w:rPr>
          <w:rFonts w:ascii="Calibri" w:eastAsia="Calibri" w:hAnsi="Calibri" w:cs="Times New Roman"/>
          <w:sz w:val="24"/>
          <w:szCs w:val="24"/>
          <w14:ligatures w14:val="none"/>
        </w:rPr>
        <w:t>Sovetskiy</w:t>
      </w:r>
      <w:proofErr w:type="spellEnd"/>
      <w:r w:rsidRPr="009C7F49">
        <w:rPr>
          <w:rFonts w:ascii="Calibri" w:eastAsia="Calibri" w:hAnsi="Calibri" w:cs="Times New Roman"/>
          <w:sz w:val="24"/>
          <w:szCs w:val="24"/>
          <w14:ligatures w14:val="none"/>
        </w:rPr>
        <w:t xml:space="preserve"> </w:t>
      </w:r>
      <w:proofErr w:type="spellStart"/>
      <w:r w:rsidRPr="009C7F49">
        <w:rPr>
          <w:rFonts w:ascii="Calibri" w:eastAsia="Calibri" w:hAnsi="Calibri" w:cs="Times New Roman"/>
          <w:sz w:val="24"/>
          <w:szCs w:val="24"/>
          <w14:ligatures w14:val="none"/>
        </w:rPr>
        <w:t>Kompozitor</w:t>
      </w:r>
      <w:proofErr w:type="spellEnd"/>
      <w:r w:rsidRPr="009C7F49">
        <w:rPr>
          <w:rFonts w:ascii="Calibri" w:eastAsia="Calibri" w:hAnsi="Calibri" w:cs="Times New Roman"/>
          <w:sz w:val="24"/>
          <w:szCs w:val="24"/>
          <w14:ligatures w14:val="none"/>
        </w:rPr>
        <w:t xml:space="preserve">.  </w:t>
      </w:r>
    </w:p>
    <w:p w14:paraId="439BF04F" w14:textId="77777777" w:rsidR="009C7F49" w:rsidRPr="009C7F49" w:rsidRDefault="009C7F49" w:rsidP="009C7F49">
      <w:pPr>
        <w:spacing w:after="0" w:line="480" w:lineRule="auto"/>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Lerdahl, Fred, and Ray </w:t>
      </w:r>
      <w:proofErr w:type="spellStart"/>
      <w:r w:rsidRPr="009C7F49">
        <w:rPr>
          <w:rFonts w:ascii="Calibri" w:eastAsia="Calibri" w:hAnsi="Calibri" w:cs="Times New Roman"/>
          <w:sz w:val="24"/>
          <w:szCs w:val="24"/>
          <w14:ligatures w14:val="none"/>
        </w:rPr>
        <w:t>Jackendoff</w:t>
      </w:r>
      <w:proofErr w:type="spellEnd"/>
      <w:r w:rsidRPr="009C7F49">
        <w:rPr>
          <w:rFonts w:ascii="Calibri" w:eastAsia="Calibri" w:hAnsi="Calibri" w:cs="Times New Roman"/>
          <w:sz w:val="24"/>
          <w:szCs w:val="24"/>
          <w14:ligatures w14:val="none"/>
        </w:rPr>
        <w:t>. 1983. </w:t>
      </w:r>
      <w:r w:rsidRPr="009C7F49">
        <w:rPr>
          <w:rFonts w:ascii="Calibri" w:eastAsia="Calibri" w:hAnsi="Calibri" w:cs="Times New Roman"/>
          <w:i/>
          <w:iCs/>
          <w:sz w:val="24"/>
          <w:szCs w:val="24"/>
          <w14:ligatures w14:val="none"/>
        </w:rPr>
        <w:t>A Generative Theory of Tonal Music</w:t>
      </w:r>
      <w:r w:rsidRPr="009C7F49">
        <w:rPr>
          <w:rFonts w:ascii="Calibri" w:eastAsia="Calibri" w:hAnsi="Calibri" w:cs="Times New Roman"/>
          <w:sz w:val="24"/>
          <w:szCs w:val="24"/>
          <w14:ligatures w14:val="none"/>
        </w:rPr>
        <w:t>. MIT Press.</w:t>
      </w:r>
    </w:p>
    <w:p w14:paraId="505EEACE" w14:textId="77777777" w:rsidR="009C7F49" w:rsidRPr="009C7F49" w:rsidRDefault="009C7F49" w:rsidP="009C7F49">
      <w:pPr>
        <w:spacing w:after="0" w:line="480" w:lineRule="auto"/>
        <w:rPr>
          <w:rFonts w:ascii="Calibri" w:eastAsia="Calibri" w:hAnsi="Calibri" w:cs="Times New Roman"/>
          <w:sz w:val="24"/>
          <w:szCs w:val="24"/>
          <w14:ligatures w14:val="none"/>
        </w:rPr>
      </w:pPr>
      <w:proofErr w:type="spellStart"/>
      <w:r w:rsidRPr="009C7F49">
        <w:rPr>
          <w:rFonts w:ascii="Calibri" w:eastAsia="Calibri" w:hAnsi="Calibri" w:cs="Times New Roman"/>
          <w:sz w:val="24"/>
          <w:szCs w:val="24"/>
          <w14:ligatures w14:val="none"/>
        </w:rPr>
        <w:t>Moortele</w:t>
      </w:r>
      <w:proofErr w:type="spellEnd"/>
      <w:r w:rsidRPr="009C7F49">
        <w:rPr>
          <w:rFonts w:ascii="Calibri" w:eastAsia="Calibri" w:hAnsi="Calibri" w:cs="Times New Roman"/>
          <w:sz w:val="24"/>
          <w:szCs w:val="24"/>
          <w14:ligatures w14:val="none"/>
        </w:rPr>
        <w:t>, Steven Vande. 2013. "In Search of Romantic Form." Music Analysis 32/3: 404–31.</w:t>
      </w:r>
    </w:p>
    <w:p w14:paraId="6462AE16" w14:textId="77777777" w:rsidR="009C7F49" w:rsidRPr="009C7F49" w:rsidRDefault="009C7F49" w:rsidP="009C7F49">
      <w:pPr>
        <w:spacing w:after="0" w:line="480" w:lineRule="auto"/>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Rachmaninoff, Sergei. 1948 [1904]. 24 </w:t>
      </w:r>
      <w:proofErr w:type="spellStart"/>
      <w:r w:rsidRPr="009C7F49">
        <w:rPr>
          <w:rFonts w:ascii="Calibri" w:eastAsia="Calibri" w:hAnsi="Calibri" w:cs="Times New Roman"/>
          <w:sz w:val="24"/>
          <w:szCs w:val="24"/>
          <w14:ligatures w14:val="none"/>
        </w:rPr>
        <w:t>prelyudii</w:t>
      </w:r>
      <w:proofErr w:type="spellEnd"/>
      <w:r w:rsidRPr="009C7F49">
        <w:rPr>
          <w:rFonts w:ascii="Calibri" w:eastAsia="Calibri" w:hAnsi="Calibri" w:cs="Times New Roman"/>
          <w:sz w:val="24"/>
          <w:szCs w:val="24"/>
          <w14:ligatures w14:val="none"/>
        </w:rPr>
        <w:t xml:space="preserve"> </w:t>
      </w:r>
      <w:proofErr w:type="spellStart"/>
      <w:r w:rsidRPr="009C7F49">
        <w:rPr>
          <w:rFonts w:ascii="Calibri" w:eastAsia="Calibri" w:hAnsi="Calibri" w:cs="Times New Roman"/>
          <w:sz w:val="24"/>
          <w:szCs w:val="24"/>
          <w14:ligatures w14:val="none"/>
        </w:rPr>
        <w:t>dlya</w:t>
      </w:r>
      <w:proofErr w:type="spellEnd"/>
      <w:r w:rsidRPr="009C7F49">
        <w:rPr>
          <w:rFonts w:ascii="Calibri" w:eastAsia="Calibri" w:hAnsi="Calibri" w:cs="Times New Roman"/>
          <w:sz w:val="24"/>
          <w:szCs w:val="24"/>
          <w14:ligatures w14:val="none"/>
        </w:rPr>
        <w:t xml:space="preserve"> fortepiano. Edited by Pavel Lamm. </w:t>
      </w:r>
      <w:r w:rsidRPr="009C7F49">
        <w:rPr>
          <w:rFonts w:ascii="Calibri" w:eastAsia="Calibri" w:hAnsi="Calibri" w:cs="Times New Roman"/>
          <w:sz w:val="24"/>
          <w:szCs w:val="24"/>
          <w14:ligatures w14:val="none"/>
        </w:rPr>
        <w:tab/>
        <w:t xml:space="preserve">Moscow: </w:t>
      </w:r>
      <w:proofErr w:type="spellStart"/>
      <w:r w:rsidRPr="009C7F49">
        <w:rPr>
          <w:rFonts w:ascii="Calibri" w:eastAsia="Calibri" w:hAnsi="Calibri" w:cs="Times New Roman"/>
          <w:sz w:val="24"/>
          <w:szCs w:val="24"/>
          <w14:ligatures w14:val="none"/>
        </w:rPr>
        <w:t>Muzgiz</w:t>
      </w:r>
      <w:proofErr w:type="spellEnd"/>
      <w:r w:rsidRPr="009C7F49">
        <w:rPr>
          <w:rFonts w:ascii="Calibri" w:eastAsia="Calibri" w:hAnsi="Calibri" w:cs="Times New Roman"/>
          <w:sz w:val="24"/>
          <w:szCs w:val="24"/>
          <w14:ligatures w14:val="none"/>
        </w:rPr>
        <w:t xml:space="preserve">. </w:t>
      </w:r>
    </w:p>
    <w:p w14:paraId="38BD663F" w14:textId="77777777" w:rsidR="009C7F49" w:rsidRPr="009C7F49" w:rsidRDefault="009C7F49" w:rsidP="009C7F49">
      <w:pPr>
        <w:spacing w:after="0" w:line="480" w:lineRule="auto"/>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Rothstein, William. 1995. “Beethoven with and without </w:t>
      </w:r>
      <w:proofErr w:type="spellStart"/>
      <w:r w:rsidRPr="009C7F49">
        <w:rPr>
          <w:rFonts w:ascii="Calibri" w:eastAsia="Calibri" w:hAnsi="Calibri" w:cs="Times New Roman"/>
          <w:sz w:val="24"/>
          <w:szCs w:val="24"/>
          <w14:ligatures w14:val="none"/>
        </w:rPr>
        <w:t>Kunstgepräng</w:t>
      </w:r>
      <w:proofErr w:type="spellEnd"/>
      <w:r w:rsidRPr="009C7F49">
        <w:rPr>
          <w:rFonts w:ascii="Calibri" w:eastAsia="Calibri" w:hAnsi="Calibri" w:cs="Times New Roman"/>
          <w:sz w:val="24"/>
          <w:szCs w:val="24"/>
          <w14:ligatures w14:val="none"/>
        </w:rPr>
        <w:t>’: Metrical Ambiguity</w:t>
      </w:r>
      <w:r w:rsidRPr="009C7F49">
        <w:rPr>
          <w:rFonts w:ascii="Calibri" w:eastAsia="Calibri" w:hAnsi="Calibri" w:cs="Times New Roman"/>
          <w:sz w:val="24"/>
          <w:szCs w:val="24"/>
          <w14:ligatures w14:val="none"/>
        </w:rPr>
        <w:tab/>
      </w:r>
    </w:p>
    <w:p w14:paraId="55085A13" w14:textId="77777777" w:rsidR="009C7F49" w:rsidRPr="009C7F49" w:rsidRDefault="009C7F49" w:rsidP="009C7F49">
      <w:pPr>
        <w:spacing w:after="0" w:line="480" w:lineRule="auto"/>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ab/>
        <w:t xml:space="preserve">Reconsidered.” In </w:t>
      </w:r>
      <w:r w:rsidRPr="009C7F49">
        <w:rPr>
          <w:rFonts w:ascii="Calibri" w:eastAsia="Calibri" w:hAnsi="Calibri" w:cs="Times New Roman"/>
          <w:i/>
          <w:iCs/>
          <w:sz w:val="24"/>
          <w:szCs w:val="24"/>
          <w14:ligatures w14:val="none"/>
        </w:rPr>
        <w:t>Beethoven Forum 4</w:t>
      </w:r>
      <w:r w:rsidRPr="009C7F49">
        <w:rPr>
          <w:rFonts w:ascii="Calibri" w:eastAsia="Calibri" w:hAnsi="Calibri" w:cs="Times New Roman"/>
          <w:sz w:val="24"/>
          <w:szCs w:val="24"/>
          <w14:ligatures w14:val="none"/>
        </w:rPr>
        <w:t xml:space="preserve">, ed. Lewis Lockwood and James Webster. </w:t>
      </w:r>
    </w:p>
    <w:p w14:paraId="3C7466EA" w14:textId="77777777" w:rsidR="009C7F49" w:rsidRPr="009C7F49" w:rsidRDefault="009C7F49" w:rsidP="009C7F49">
      <w:pPr>
        <w:spacing w:after="0" w:line="480" w:lineRule="auto"/>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_______. 2007 [1989]. Phrase Rhythm in Tonal Music. Ann Arbor: </w:t>
      </w:r>
      <w:proofErr w:type="spellStart"/>
      <w:r w:rsidRPr="009C7F49">
        <w:rPr>
          <w:rFonts w:ascii="Calibri" w:eastAsia="Calibri" w:hAnsi="Calibri" w:cs="Times New Roman"/>
          <w:sz w:val="24"/>
          <w:szCs w:val="24"/>
          <w14:ligatures w14:val="none"/>
        </w:rPr>
        <w:t>Musicalia</w:t>
      </w:r>
      <w:proofErr w:type="spellEnd"/>
      <w:r w:rsidRPr="009C7F49">
        <w:rPr>
          <w:rFonts w:ascii="Calibri" w:eastAsia="Calibri" w:hAnsi="Calibri" w:cs="Times New Roman"/>
          <w:sz w:val="24"/>
          <w:szCs w:val="24"/>
          <w14:ligatures w14:val="none"/>
        </w:rPr>
        <w:t xml:space="preserve"> Press. </w:t>
      </w:r>
    </w:p>
    <w:p w14:paraId="589CFAF2" w14:textId="77777777" w:rsidR="009C7F49" w:rsidRPr="009C7F49" w:rsidRDefault="009C7F49" w:rsidP="009C7F49">
      <w:pPr>
        <w:spacing w:after="0" w:line="480" w:lineRule="auto"/>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_______. 2008. “National Metrical Types in Music of the Eighteenth and Early Nineteenth</w:t>
      </w:r>
    </w:p>
    <w:p w14:paraId="1953EAE3" w14:textId="77777777" w:rsidR="009C7F49" w:rsidRPr="009C7F49" w:rsidRDefault="009C7F49" w:rsidP="009C7F49">
      <w:pPr>
        <w:spacing w:after="0" w:line="480" w:lineRule="auto"/>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ab/>
        <w:t xml:space="preserve">Centuries.” In </w:t>
      </w:r>
      <w:r w:rsidRPr="009C7F49">
        <w:rPr>
          <w:rFonts w:ascii="Calibri" w:eastAsia="Calibri" w:hAnsi="Calibri" w:cs="Times New Roman"/>
          <w:i/>
          <w:iCs/>
          <w:sz w:val="24"/>
          <w:szCs w:val="24"/>
          <w14:ligatures w14:val="none"/>
        </w:rPr>
        <w:t>Communication in Eighteenth-Century Music</w:t>
      </w:r>
      <w:r w:rsidRPr="009C7F49">
        <w:rPr>
          <w:rFonts w:ascii="Calibri" w:eastAsia="Calibri" w:hAnsi="Calibri" w:cs="Times New Roman"/>
          <w:sz w:val="24"/>
          <w:szCs w:val="24"/>
          <w14:ligatures w14:val="none"/>
        </w:rPr>
        <w:t xml:space="preserve">, ed. Danuta Mirka and Kofi </w:t>
      </w:r>
    </w:p>
    <w:p w14:paraId="4366B931" w14:textId="77777777" w:rsidR="009C7F49" w:rsidRPr="009C7F49" w:rsidRDefault="009C7F49" w:rsidP="009C7F49">
      <w:pPr>
        <w:spacing w:after="0" w:line="480" w:lineRule="auto"/>
        <w:ind w:firstLine="720"/>
        <w:rPr>
          <w:rFonts w:ascii="Calibri" w:eastAsia="Calibri" w:hAnsi="Calibri" w:cs="Times New Roman"/>
          <w:sz w:val="24"/>
          <w:szCs w:val="24"/>
          <w14:ligatures w14:val="none"/>
        </w:rPr>
      </w:pPr>
      <w:proofErr w:type="spellStart"/>
      <w:r w:rsidRPr="009C7F49">
        <w:rPr>
          <w:rFonts w:ascii="Calibri" w:eastAsia="Calibri" w:hAnsi="Calibri" w:cs="Times New Roman"/>
          <w:sz w:val="24"/>
          <w:szCs w:val="24"/>
          <w14:ligatures w14:val="none"/>
        </w:rPr>
        <w:t>Agawu</w:t>
      </w:r>
      <w:proofErr w:type="spellEnd"/>
      <w:r w:rsidRPr="009C7F49">
        <w:rPr>
          <w:rFonts w:ascii="Calibri" w:eastAsia="Calibri" w:hAnsi="Calibri" w:cs="Times New Roman"/>
          <w:sz w:val="24"/>
          <w:szCs w:val="24"/>
          <w14:ligatures w14:val="none"/>
        </w:rPr>
        <w:t>, 112–59. Cambridge University Press.</w:t>
      </w:r>
    </w:p>
    <w:p w14:paraId="56DB6584" w14:textId="77777777" w:rsidR="009C7F49" w:rsidRPr="009C7F49" w:rsidRDefault="009C7F49" w:rsidP="009C7F49">
      <w:pPr>
        <w:spacing w:after="0" w:line="480" w:lineRule="auto"/>
        <w:rPr>
          <w:rFonts w:ascii="Calibri" w:eastAsia="Calibri" w:hAnsi="Calibri" w:cs="Times New Roman"/>
          <w:sz w:val="24"/>
          <w:szCs w:val="24"/>
          <w14:ligatures w14:val="none"/>
        </w:rPr>
      </w:pPr>
      <w:r w:rsidRPr="009C7F49">
        <w:rPr>
          <w:rFonts w:ascii="Calibri" w:eastAsia="Calibri" w:hAnsi="Calibri" w:cs="Times New Roman"/>
          <w:sz w:val="24"/>
          <w:szCs w:val="24"/>
          <w14:ligatures w14:val="none"/>
        </w:rPr>
        <w:t xml:space="preserve">Schmalfeldt, Janet. 2011. </w:t>
      </w:r>
      <w:r w:rsidRPr="009C7F49">
        <w:rPr>
          <w:rFonts w:ascii="Calibri" w:eastAsia="Calibri" w:hAnsi="Calibri" w:cs="Times New Roman"/>
          <w:i/>
          <w:iCs/>
          <w:sz w:val="24"/>
          <w:szCs w:val="24"/>
          <w14:ligatures w14:val="none"/>
        </w:rPr>
        <w:t>In the Process of Becoming</w:t>
      </w:r>
      <w:r w:rsidRPr="009C7F49">
        <w:rPr>
          <w:rFonts w:ascii="Calibri" w:eastAsia="Calibri" w:hAnsi="Calibri" w:cs="Times New Roman"/>
          <w:sz w:val="24"/>
          <w:szCs w:val="24"/>
          <w14:ligatures w14:val="none"/>
        </w:rPr>
        <w:t xml:space="preserve">. Oxford University Press. </w:t>
      </w:r>
    </w:p>
    <w:p w14:paraId="39D25531" w14:textId="77777777" w:rsidR="009C7F49" w:rsidRDefault="009C7F49" w:rsidP="009C7F49">
      <w:pPr>
        <w:spacing w:after="0" w:line="480" w:lineRule="auto"/>
        <w:rPr>
          <w:rFonts w:ascii="Calibri" w:eastAsia="Calibri" w:hAnsi="Calibri" w:cs="Times New Roman"/>
          <w:sz w:val="24"/>
          <w:szCs w:val="24"/>
          <w14:ligatures w14:val="none"/>
        </w:rPr>
      </w:pPr>
      <w:proofErr w:type="spellStart"/>
      <w:r w:rsidRPr="009C7F49">
        <w:rPr>
          <w:rFonts w:ascii="Calibri" w:eastAsia="Calibri" w:hAnsi="Calibri" w:cs="Times New Roman"/>
          <w:sz w:val="24"/>
          <w:szCs w:val="24"/>
          <w14:ligatures w14:val="none"/>
        </w:rPr>
        <w:t>Temperley</w:t>
      </w:r>
      <w:proofErr w:type="spellEnd"/>
      <w:r w:rsidRPr="009C7F49">
        <w:rPr>
          <w:rFonts w:ascii="Calibri" w:eastAsia="Calibri" w:hAnsi="Calibri" w:cs="Times New Roman"/>
          <w:sz w:val="24"/>
          <w:szCs w:val="24"/>
          <w14:ligatures w14:val="none"/>
        </w:rPr>
        <w:t>, David. 2008. "Hypermetrical transitions." </w:t>
      </w:r>
      <w:r w:rsidRPr="009C7F49">
        <w:rPr>
          <w:rFonts w:ascii="Calibri" w:eastAsia="Calibri" w:hAnsi="Calibri" w:cs="Times New Roman"/>
          <w:i/>
          <w:iCs/>
          <w:sz w:val="24"/>
          <w:szCs w:val="24"/>
          <w14:ligatures w14:val="none"/>
        </w:rPr>
        <w:t>Music Theory Spectrum</w:t>
      </w:r>
      <w:r w:rsidRPr="009C7F49">
        <w:rPr>
          <w:rFonts w:ascii="Calibri" w:eastAsia="Calibri" w:hAnsi="Calibri" w:cs="Times New Roman"/>
          <w:sz w:val="24"/>
          <w:szCs w:val="24"/>
          <w14:ligatures w14:val="none"/>
        </w:rPr>
        <w:t> 30/2: 305–25.</w:t>
      </w:r>
    </w:p>
    <w:p w14:paraId="783A68DA" w14:textId="77777777" w:rsidR="009C7F49" w:rsidRDefault="009C7F49" w:rsidP="009C7F49">
      <w:pPr>
        <w:spacing w:after="0" w:line="480" w:lineRule="auto"/>
        <w:rPr>
          <w:rFonts w:ascii="Calibri" w:eastAsia="Calibri" w:hAnsi="Calibri" w:cs="Times New Roman"/>
          <w:sz w:val="24"/>
          <w:szCs w:val="24"/>
          <w14:ligatures w14:val="none"/>
        </w:rPr>
      </w:pPr>
    </w:p>
    <w:p w14:paraId="5C070C61" w14:textId="77777777" w:rsidR="009C7F49" w:rsidRDefault="009C7F49" w:rsidP="009C7F49">
      <w:pPr>
        <w:spacing w:after="0" w:line="480" w:lineRule="auto"/>
        <w:rPr>
          <w:rFonts w:ascii="Calibri" w:eastAsia="Calibri" w:hAnsi="Calibri" w:cs="Times New Roman"/>
          <w:sz w:val="24"/>
          <w:szCs w:val="24"/>
          <w14:ligatures w14:val="none"/>
        </w:rPr>
      </w:pPr>
    </w:p>
    <w:p w14:paraId="6DABF8D9" w14:textId="77777777" w:rsidR="009C7F49" w:rsidRDefault="009C7F49" w:rsidP="009C7F49">
      <w:pPr>
        <w:spacing w:after="0" w:line="480" w:lineRule="auto"/>
        <w:rPr>
          <w:rFonts w:ascii="Calibri" w:eastAsia="Calibri" w:hAnsi="Calibri" w:cs="Times New Roman"/>
          <w:sz w:val="24"/>
          <w:szCs w:val="24"/>
          <w14:ligatures w14:val="none"/>
        </w:rPr>
      </w:pPr>
    </w:p>
    <w:p w14:paraId="56DAAF5C" w14:textId="77777777" w:rsidR="009C7F49" w:rsidRDefault="009C7F49" w:rsidP="009C7F49">
      <w:pPr>
        <w:spacing w:after="0" w:line="480" w:lineRule="auto"/>
        <w:rPr>
          <w:rFonts w:ascii="Calibri" w:eastAsia="Calibri" w:hAnsi="Calibri" w:cs="Times New Roman"/>
          <w:sz w:val="24"/>
          <w:szCs w:val="24"/>
          <w14:ligatures w14:val="none"/>
        </w:rPr>
      </w:pPr>
    </w:p>
    <w:p w14:paraId="479ECDF6" w14:textId="769B43E3" w:rsidR="009C7F49" w:rsidRDefault="009C7F49" w:rsidP="009C7F49">
      <w:r w:rsidRPr="006A5184">
        <w:rPr>
          <w:u w:val="single"/>
        </w:rPr>
        <w:lastRenderedPageBreak/>
        <w:t>Example 1</w:t>
      </w:r>
      <w:r>
        <w:t xml:space="preserve">. Sergei Rachmaninoff. Prelude in G Minor, op, 23, no. 5. Mm. 1–16. Rectangles </w:t>
      </w:r>
      <w:r w:rsidR="00687242">
        <w:t>show</w:t>
      </w:r>
      <w:r>
        <w:t xml:space="preserve"> the two </w:t>
      </w:r>
      <w:r w:rsidR="00687242">
        <w:t>anomalous</w:t>
      </w:r>
      <w:r>
        <w:t xml:space="preserve"> measures of 2/4. Brackets show thematic material. </w:t>
      </w:r>
    </w:p>
    <w:p w14:paraId="32502A70" w14:textId="77777777" w:rsidR="009C7F49" w:rsidRDefault="009C7F49" w:rsidP="009C7F49"/>
    <w:p w14:paraId="4878DCE2" w14:textId="77777777" w:rsidR="009C7F49" w:rsidRDefault="009C7F49" w:rsidP="009C7F49">
      <w:pPr>
        <w:rPr>
          <w:noProof/>
        </w:rPr>
      </w:pPr>
      <w:r>
        <w:rPr>
          <w:noProof/>
        </w:rPr>
        <w:drawing>
          <wp:inline distT="0" distB="0" distL="0" distR="0" wp14:anchorId="0E72B188" wp14:editId="53198C61">
            <wp:extent cx="5266944" cy="2967411"/>
            <wp:effectExtent l="0" t="0" r="0" b="4445"/>
            <wp:docPr id="443830413" name="Picture 2" descr="A sheet of music with no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30413" name="Picture 2" descr="A sheet of music with note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0755" cy="2975192"/>
                    </a:xfrm>
                    <a:prstGeom prst="rect">
                      <a:avLst/>
                    </a:prstGeom>
                    <a:noFill/>
                    <a:ln>
                      <a:noFill/>
                    </a:ln>
                  </pic:spPr>
                </pic:pic>
              </a:graphicData>
            </a:graphic>
          </wp:inline>
        </w:drawing>
      </w:r>
    </w:p>
    <w:p w14:paraId="5FBEADE8" w14:textId="77777777" w:rsidR="009C7F49" w:rsidRDefault="009C7F49" w:rsidP="009C7F49">
      <w:pPr>
        <w:rPr>
          <w:noProof/>
        </w:rPr>
      </w:pPr>
      <w:r>
        <w:rPr>
          <w:noProof/>
        </w:rPr>
        <w:drawing>
          <wp:inline distT="0" distB="0" distL="0" distR="0" wp14:anchorId="725AF2FA" wp14:editId="162B4620">
            <wp:extent cx="5288890" cy="2576639"/>
            <wp:effectExtent l="0" t="0" r="7620" b="0"/>
            <wp:docPr id="1168908260" name="Picture 8" descr="A sheet of music with no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08260" name="Picture 8" descr="A sheet of music with not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2438" cy="2592983"/>
                    </a:xfrm>
                    <a:prstGeom prst="rect">
                      <a:avLst/>
                    </a:prstGeom>
                    <a:noFill/>
                    <a:ln>
                      <a:noFill/>
                    </a:ln>
                  </pic:spPr>
                </pic:pic>
              </a:graphicData>
            </a:graphic>
          </wp:inline>
        </w:drawing>
      </w:r>
    </w:p>
    <w:p w14:paraId="31227506" w14:textId="77777777" w:rsidR="009C7F49" w:rsidRDefault="009C7F49" w:rsidP="009C7F49">
      <w:r>
        <w:rPr>
          <w:noProof/>
        </w:rPr>
        <w:drawing>
          <wp:inline distT="0" distB="0" distL="0" distR="0" wp14:anchorId="76F3AB5A" wp14:editId="152DE7C9">
            <wp:extent cx="5274259" cy="1405340"/>
            <wp:effectExtent l="0" t="0" r="3175" b="4445"/>
            <wp:docPr id="433418087" name="Picture 7" descr="A close-up of a music sc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18087" name="Picture 7" descr="A close-up of a music scor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8655" cy="1414505"/>
                    </a:xfrm>
                    <a:prstGeom prst="rect">
                      <a:avLst/>
                    </a:prstGeom>
                    <a:noFill/>
                    <a:ln>
                      <a:noFill/>
                    </a:ln>
                  </pic:spPr>
                </pic:pic>
              </a:graphicData>
            </a:graphic>
          </wp:inline>
        </w:drawing>
      </w:r>
    </w:p>
    <w:p w14:paraId="11F0358F" w14:textId="77777777" w:rsidR="009C7F49" w:rsidRDefault="009C7F49" w:rsidP="009C7F49">
      <w:pPr>
        <w:rPr>
          <w:u w:val="single"/>
        </w:rPr>
      </w:pPr>
    </w:p>
    <w:p w14:paraId="47436246" w14:textId="77777777" w:rsidR="009C7F49" w:rsidRDefault="009C7F49" w:rsidP="009C7F49">
      <w:r w:rsidRPr="006A5184">
        <w:rPr>
          <w:u w:val="single"/>
        </w:rPr>
        <w:lastRenderedPageBreak/>
        <w:t>Example 2</w:t>
      </w:r>
      <w:r>
        <w:t xml:space="preserve">. Prelude in G Minor, formal diagram. </w:t>
      </w:r>
    </w:p>
    <w:p w14:paraId="7F1E0186" w14:textId="77777777" w:rsidR="009C7F49" w:rsidRDefault="009C7F49" w:rsidP="009C7F49"/>
    <w:p w14:paraId="3D2D79AD" w14:textId="77777777" w:rsidR="009C7F49" w:rsidRDefault="009C7F49" w:rsidP="009C7F49">
      <w:pPr>
        <w:rPr>
          <w:noProof/>
        </w:rPr>
      </w:pPr>
      <w:r>
        <w:rPr>
          <w:noProof/>
        </w:rPr>
        <w:drawing>
          <wp:inline distT="0" distB="0" distL="0" distR="0" wp14:anchorId="430B699D" wp14:editId="1D21B94D">
            <wp:extent cx="7561978" cy="2532779"/>
            <wp:effectExtent l="0" t="0" r="1270" b="1270"/>
            <wp:docPr id="2054973155"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73155" name="Picture 1" descr="A white paper with black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7585261" cy="2540577"/>
                    </a:xfrm>
                    <a:prstGeom prst="rect">
                      <a:avLst/>
                    </a:prstGeom>
                    <a:noFill/>
                    <a:ln>
                      <a:noFill/>
                    </a:ln>
                  </pic:spPr>
                </pic:pic>
              </a:graphicData>
            </a:graphic>
          </wp:inline>
        </w:drawing>
      </w:r>
    </w:p>
    <w:p w14:paraId="14A1AF67" w14:textId="7A69F169" w:rsidR="009C7F49" w:rsidRDefault="009C7F49" w:rsidP="009C7F49">
      <w:pPr>
        <w:tabs>
          <w:tab w:val="left" w:pos="1620"/>
        </w:tabs>
      </w:pPr>
      <w:r w:rsidRPr="00E922AA">
        <w:rPr>
          <w:u w:val="single"/>
        </w:rPr>
        <w:lastRenderedPageBreak/>
        <w:t>Example 3a</w:t>
      </w:r>
      <w:r>
        <w:t xml:space="preserve">. Section “a,” </w:t>
      </w:r>
      <w:proofErr w:type="spellStart"/>
      <w:r>
        <w:t>renotated</w:t>
      </w:r>
      <w:proofErr w:type="spellEnd"/>
      <w:r>
        <w:t xml:space="preserve"> in 2/4. Formal and metrical analysis. </w:t>
      </w:r>
      <w:bookmarkStart w:id="0" w:name="_Hlk167126015"/>
      <w:r>
        <w:t>Circled numbers refer t</w:t>
      </w:r>
      <w:r w:rsidR="00687242">
        <w:t>o</w:t>
      </w:r>
      <w:r>
        <w:t xml:space="preserve"> half</w:t>
      </w:r>
      <w:r w:rsidR="00687242">
        <w:t>-</w:t>
      </w:r>
      <w:r>
        <w:t xml:space="preserve">note beats (1 = strong). </w:t>
      </w:r>
      <w:r>
        <w:rPr>
          <w:noProof/>
        </w:rPr>
        <w:drawing>
          <wp:inline distT="0" distB="0" distL="0" distR="0" wp14:anchorId="44453DE0" wp14:editId="31CE8A0D">
            <wp:extent cx="5934075" cy="3581400"/>
            <wp:effectExtent l="0" t="0" r="9525" b="0"/>
            <wp:docPr id="25031898" name="Picture 4" descr="A sheet music with notes and no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1898" name="Picture 4" descr="A sheet music with notes and not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581400"/>
                    </a:xfrm>
                    <a:prstGeom prst="rect">
                      <a:avLst/>
                    </a:prstGeom>
                    <a:noFill/>
                    <a:ln>
                      <a:noFill/>
                    </a:ln>
                  </pic:spPr>
                </pic:pic>
              </a:graphicData>
            </a:graphic>
          </wp:inline>
        </w:drawing>
      </w:r>
    </w:p>
    <w:p w14:paraId="19D2B5D2" w14:textId="77777777" w:rsidR="009C7F49" w:rsidRDefault="009C7F49" w:rsidP="009C7F49">
      <w:pPr>
        <w:rPr>
          <w:noProof/>
        </w:rPr>
      </w:pPr>
      <w:r>
        <w:rPr>
          <w:noProof/>
        </w:rPr>
        <w:drawing>
          <wp:inline distT="0" distB="0" distL="0" distR="0" wp14:anchorId="1B1A0991" wp14:editId="5B92EEB6">
            <wp:extent cx="5943600" cy="3076575"/>
            <wp:effectExtent l="0" t="0" r="0" b="9525"/>
            <wp:docPr id="1290849407" name="Picture 5" descr="A sheet of music with no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9407" name="Picture 5" descr="A sheet of music with not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76575"/>
                    </a:xfrm>
                    <a:prstGeom prst="rect">
                      <a:avLst/>
                    </a:prstGeom>
                    <a:noFill/>
                    <a:ln>
                      <a:noFill/>
                    </a:ln>
                  </pic:spPr>
                </pic:pic>
              </a:graphicData>
            </a:graphic>
          </wp:inline>
        </w:drawing>
      </w:r>
    </w:p>
    <w:p w14:paraId="439603FE" w14:textId="77777777" w:rsidR="009C7F49" w:rsidRDefault="009C7F49" w:rsidP="009C7F49"/>
    <w:p w14:paraId="6D2404C8" w14:textId="77777777" w:rsidR="009C7F49" w:rsidRDefault="009C7F49" w:rsidP="009C7F49"/>
    <w:p w14:paraId="19D860DF" w14:textId="77777777" w:rsidR="009C7F49" w:rsidRDefault="009C7F49" w:rsidP="009C7F49"/>
    <w:p w14:paraId="1D091A5D" w14:textId="77777777" w:rsidR="009C7F49" w:rsidRPr="00B9363A" w:rsidRDefault="009C7F49" w:rsidP="009C7F49">
      <w:r>
        <w:rPr>
          <w:noProof/>
        </w:rPr>
        <w:lastRenderedPageBreak/>
        <w:drawing>
          <wp:inline distT="0" distB="0" distL="0" distR="0" wp14:anchorId="4D7F887D" wp14:editId="2EDC9BBA">
            <wp:extent cx="5943600" cy="1362075"/>
            <wp:effectExtent l="0" t="0" r="0" b="9525"/>
            <wp:docPr id="821068405" name="Picture 6" descr="A sheet of music with no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68405" name="Picture 6" descr="A sheet of music with not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62075"/>
                    </a:xfrm>
                    <a:prstGeom prst="rect">
                      <a:avLst/>
                    </a:prstGeom>
                    <a:noFill/>
                    <a:ln>
                      <a:noFill/>
                    </a:ln>
                  </pic:spPr>
                </pic:pic>
              </a:graphicData>
            </a:graphic>
          </wp:inline>
        </w:drawing>
      </w:r>
    </w:p>
    <w:bookmarkEnd w:id="0"/>
    <w:p w14:paraId="014522FA" w14:textId="77777777" w:rsidR="009C7F49" w:rsidRDefault="009C7F49" w:rsidP="009C7F49">
      <w:pPr>
        <w:tabs>
          <w:tab w:val="left" w:pos="1620"/>
        </w:tabs>
      </w:pPr>
    </w:p>
    <w:p w14:paraId="22BB8911" w14:textId="77777777" w:rsidR="009C7F49" w:rsidRDefault="009C7F49" w:rsidP="009C7F49">
      <w:pPr>
        <w:tabs>
          <w:tab w:val="left" w:pos="1620"/>
        </w:tabs>
      </w:pPr>
    </w:p>
    <w:p w14:paraId="545B8558" w14:textId="77777777" w:rsidR="009C7F49" w:rsidRDefault="009C7F49" w:rsidP="009C7F49">
      <w:pPr>
        <w:tabs>
          <w:tab w:val="left" w:pos="1620"/>
        </w:tabs>
      </w:pPr>
      <w:r w:rsidRPr="006A5184">
        <w:rPr>
          <w:u w:val="single"/>
        </w:rPr>
        <w:t>Example 3b</w:t>
      </w:r>
      <w:r>
        <w:t xml:space="preserve">. Section “a,” formal diagram. </w:t>
      </w:r>
    </w:p>
    <w:p w14:paraId="2669E9F1" w14:textId="77777777" w:rsidR="009C7F49" w:rsidRDefault="009C7F49" w:rsidP="009C7F49">
      <w:pPr>
        <w:tabs>
          <w:tab w:val="left" w:pos="1620"/>
        </w:tabs>
      </w:pPr>
    </w:p>
    <w:p w14:paraId="56176779" w14:textId="77777777" w:rsidR="009C7F49" w:rsidRDefault="009C7F49" w:rsidP="009C7F49">
      <w:pPr>
        <w:tabs>
          <w:tab w:val="left" w:pos="1620"/>
        </w:tabs>
      </w:pPr>
      <w:r>
        <w:rPr>
          <w:noProof/>
        </w:rPr>
        <w:drawing>
          <wp:inline distT="0" distB="0" distL="0" distR="0" wp14:anchorId="20EEF2A1" wp14:editId="604EFFB7">
            <wp:extent cx="5943600" cy="1714500"/>
            <wp:effectExtent l="0" t="0" r="0" b="0"/>
            <wp:docPr id="1965544997" name="Picture 5"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44997" name="Picture 5" descr="A white background with black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714500"/>
                    </a:xfrm>
                    <a:prstGeom prst="rect">
                      <a:avLst/>
                    </a:prstGeom>
                    <a:noFill/>
                    <a:ln>
                      <a:noFill/>
                    </a:ln>
                  </pic:spPr>
                </pic:pic>
              </a:graphicData>
            </a:graphic>
          </wp:inline>
        </w:drawing>
      </w:r>
    </w:p>
    <w:p w14:paraId="5AE95E7A" w14:textId="77777777" w:rsidR="009C7F49" w:rsidRDefault="009C7F49" w:rsidP="009C7F49">
      <w:pPr>
        <w:tabs>
          <w:tab w:val="left" w:pos="1620"/>
        </w:tabs>
        <w:rPr>
          <w:u w:val="single"/>
        </w:rPr>
      </w:pPr>
    </w:p>
    <w:p w14:paraId="6E5E20CC" w14:textId="77777777" w:rsidR="009C7F49" w:rsidRDefault="009C7F49" w:rsidP="009C7F49">
      <w:pPr>
        <w:tabs>
          <w:tab w:val="left" w:pos="1620"/>
        </w:tabs>
        <w:rPr>
          <w:u w:val="single"/>
        </w:rPr>
      </w:pPr>
    </w:p>
    <w:p w14:paraId="45DA6023" w14:textId="17192277" w:rsidR="009C7F49" w:rsidRDefault="009C7F49" w:rsidP="009C7F49">
      <w:pPr>
        <w:tabs>
          <w:tab w:val="left" w:pos="1620"/>
        </w:tabs>
      </w:pPr>
      <w:r>
        <w:rPr>
          <w:u w:val="single"/>
        </w:rPr>
        <w:t>E</w:t>
      </w:r>
      <w:r w:rsidRPr="00E922AA">
        <w:rPr>
          <w:u w:val="single"/>
        </w:rPr>
        <w:t>xample 4</w:t>
      </w:r>
      <w:r>
        <w:t xml:space="preserve">. Mm. 1–4 re-barred to place the </w:t>
      </w:r>
      <w:r w:rsidR="00687242">
        <w:t>anomalous</w:t>
      </w:r>
      <w:r>
        <w:t xml:space="preserve"> 2/4 </w:t>
      </w:r>
      <w:r w:rsidR="00687242">
        <w:t>measure as</w:t>
      </w:r>
      <w:r>
        <w:t xml:space="preserve"> m. 3. </w:t>
      </w:r>
      <w:r w:rsidRPr="00E922AA">
        <w:t>Circled numbers refer to the half</w:t>
      </w:r>
      <w:r w:rsidR="00687242">
        <w:t>-</w:t>
      </w:r>
      <w:r w:rsidRPr="00E922AA">
        <w:t xml:space="preserve">note beats (1 = strong). </w:t>
      </w:r>
    </w:p>
    <w:p w14:paraId="729C6CCC" w14:textId="77777777" w:rsidR="009C7F49" w:rsidRDefault="009C7F49" w:rsidP="009C7F49">
      <w:pPr>
        <w:tabs>
          <w:tab w:val="left" w:pos="1620"/>
        </w:tabs>
      </w:pPr>
    </w:p>
    <w:p w14:paraId="65A6F52E" w14:textId="77777777" w:rsidR="009C7F49" w:rsidRDefault="009C7F49" w:rsidP="009C7F49">
      <w:pPr>
        <w:tabs>
          <w:tab w:val="left" w:pos="1620"/>
        </w:tabs>
      </w:pPr>
      <w:r>
        <w:rPr>
          <w:noProof/>
        </w:rPr>
        <w:drawing>
          <wp:inline distT="0" distB="0" distL="0" distR="0" wp14:anchorId="411EFEEB" wp14:editId="51B504D1">
            <wp:extent cx="5925185" cy="1375410"/>
            <wp:effectExtent l="0" t="0" r="0" b="0"/>
            <wp:docPr id="1141274756" name="Picture 1" descr="A sheet music with no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74756" name="Picture 1" descr="A sheet music with note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5185" cy="1375410"/>
                    </a:xfrm>
                    <a:prstGeom prst="rect">
                      <a:avLst/>
                    </a:prstGeom>
                    <a:noFill/>
                    <a:ln>
                      <a:noFill/>
                    </a:ln>
                  </pic:spPr>
                </pic:pic>
              </a:graphicData>
            </a:graphic>
          </wp:inline>
        </w:drawing>
      </w:r>
    </w:p>
    <w:p w14:paraId="5118D714" w14:textId="77777777" w:rsidR="009C7F49" w:rsidRDefault="009C7F49" w:rsidP="009C7F49">
      <w:pPr>
        <w:rPr>
          <w:u w:val="single"/>
        </w:rPr>
      </w:pPr>
    </w:p>
    <w:p w14:paraId="40FFED49" w14:textId="77777777" w:rsidR="009C7F49" w:rsidRDefault="009C7F49" w:rsidP="009C7F49">
      <w:pPr>
        <w:rPr>
          <w:u w:val="single"/>
        </w:rPr>
      </w:pPr>
    </w:p>
    <w:p w14:paraId="353EED40" w14:textId="77777777" w:rsidR="009C7F49" w:rsidRDefault="009C7F49" w:rsidP="009C7F49">
      <w:pPr>
        <w:rPr>
          <w:u w:val="single"/>
        </w:rPr>
      </w:pPr>
    </w:p>
    <w:p w14:paraId="10CE80D4" w14:textId="77777777" w:rsidR="009C7F49" w:rsidRDefault="009C7F49" w:rsidP="009C7F49">
      <w:r>
        <w:rPr>
          <w:u w:val="single"/>
        </w:rPr>
        <w:lastRenderedPageBreak/>
        <w:t xml:space="preserve">Example 5. </w:t>
      </w:r>
      <w:r w:rsidRPr="00DA5B67">
        <w:t xml:space="preserve">Retransition=&gt;a, mm. 50–56. </w:t>
      </w:r>
    </w:p>
    <w:p w14:paraId="5D31109E" w14:textId="77777777" w:rsidR="009C7F49" w:rsidRPr="00DA5B67" w:rsidRDefault="009C7F49" w:rsidP="009C7F49">
      <w:r>
        <w:rPr>
          <w:noProof/>
        </w:rPr>
        <w:drawing>
          <wp:inline distT="0" distB="0" distL="0" distR="0" wp14:anchorId="2553A89E" wp14:editId="2886B100">
            <wp:extent cx="5943600" cy="4943475"/>
            <wp:effectExtent l="0" t="0" r="0" b="9525"/>
            <wp:docPr id="2019130827" name="Picture 8" descr="A sheet of music with no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30827" name="Picture 8" descr="A sheet of music with note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943475"/>
                    </a:xfrm>
                    <a:prstGeom prst="rect">
                      <a:avLst/>
                    </a:prstGeom>
                    <a:noFill/>
                    <a:ln>
                      <a:noFill/>
                    </a:ln>
                  </pic:spPr>
                </pic:pic>
              </a:graphicData>
            </a:graphic>
          </wp:inline>
        </w:drawing>
      </w:r>
    </w:p>
    <w:p w14:paraId="3E5761CE" w14:textId="77777777" w:rsidR="009C7F49" w:rsidRDefault="009C7F49" w:rsidP="009C7F49">
      <w:pPr>
        <w:rPr>
          <w:u w:val="single"/>
        </w:rPr>
      </w:pPr>
    </w:p>
    <w:p w14:paraId="394FDE99" w14:textId="77777777" w:rsidR="009C7F49" w:rsidRDefault="009C7F49" w:rsidP="009C7F49">
      <w:pPr>
        <w:rPr>
          <w:u w:val="single"/>
        </w:rPr>
      </w:pPr>
    </w:p>
    <w:p w14:paraId="481B675A" w14:textId="77777777" w:rsidR="009C7F49" w:rsidRDefault="009C7F49" w:rsidP="009C7F49">
      <w:r w:rsidRPr="00E922AA">
        <w:rPr>
          <w:u w:val="single"/>
        </w:rPr>
        <w:t xml:space="preserve">Example </w:t>
      </w:r>
      <w:r>
        <w:rPr>
          <w:u w:val="single"/>
        </w:rPr>
        <w:t>6</w:t>
      </w:r>
      <w:r>
        <w:t xml:space="preserve">. Comparison of the two PACs: m. 16 and m. 63. </w:t>
      </w:r>
    </w:p>
    <w:p w14:paraId="5E58C461" w14:textId="77777777" w:rsidR="009C7F49" w:rsidRPr="00233D2A" w:rsidRDefault="009C7F49" w:rsidP="009C7F49">
      <w:r>
        <w:rPr>
          <w:noProof/>
        </w:rPr>
        <w:drawing>
          <wp:inline distT="0" distB="0" distL="0" distR="0" wp14:anchorId="475C2B0C" wp14:editId="52411621">
            <wp:extent cx="5943600" cy="1295400"/>
            <wp:effectExtent l="0" t="0" r="0" b="0"/>
            <wp:docPr id="674710689" name="Picture 6" descr="A close up of a music no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10689" name="Picture 6" descr="A close up of a music not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295400"/>
                    </a:xfrm>
                    <a:prstGeom prst="rect">
                      <a:avLst/>
                    </a:prstGeom>
                    <a:noFill/>
                    <a:ln>
                      <a:noFill/>
                    </a:ln>
                  </pic:spPr>
                </pic:pic>
              </a:graphicData>
            </a:graphic>
          </wp:inline>
        </w:drawing>
      </w:r>
    </w:p>
    <w:p w14:paraId="1F9CE5D7" w14:textId="77777777" w:rsidR="009C7F49" w:rsidRPr="009C7F49" w:rsidRDefault="009C7F49" w:rsidP="009C7F49">
      <w:pPr>
        <w:spacing w:after="0" w:line="480" w:lineRule="auto"/>
        <w:rPr>
          <w:rFonts w:ascii="Calibri" w:eastAsia="Calibri" w:hAnsi="Calibri" w:cs="Times New Roman"/>
          <w:sz w:val="24"/>
          <w:szCs w:val="24"/>
          <w14:ligatures w14:val="none"/>
        </w:rPr>
      </w:pPr>
    </w:p>
    <w:p w14:paraId="6F771E48" w14:textId="77777777" w:rsidR="005A070F" w:rsidRPr="009C7F49" w:rsidRDefault="005A070F" w:rsidP="009C7F49">
      <w:pPr>
        <w:spacing w:after="0" w:line="480" w:lineRule="auto"/>
      </w:pPr>
    </w:p>
    <w:sectPr w:rsidR="005A070F" w:rsidRPr="009C7F49">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52F5B3" w14:textId="77777777" w:rsidR="009C7F49" w:rsidRDefault="009C7F49" w:rsidP="009C7F49">
      <w:pPr>
        <w:spacing w:after="0" w:line="240" w:lineRule="auto"/>
      </w:pPr>
      <w:r>
        <w:separator/>
      </w:r>
    </w:p>
  </w:endnote>
  <w:endnote w:type="continuationSeparator" w:id="0">
    <w:p w14:paraId="75802440" w14:textId="77777777" w:rsidR="009C7F49" w:rsidRDefault="009C7F49" w:rsidP="009C7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7272491"/>
      <w:docPartObj>
        <w:docPartGallery w:val="Page Numbers (Bottom of Page)"/>
        <w:docPartUnique/>
      </w:docPartObj>
    </w:sdtPr>
    <w:sdtEndPr>
      <w:rPr>
        <w:noProof/>
      </w:rPr>
    </w:sdtEndPr>
    <w:sdtContent>
      <w:p w14:paraId="48F845AE" w14:textId="4DF5A4C7" w:rsidR="009C7F49" w:rsidRDefault="009C7F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81F945" w14:textId="77777777" w:rsidR="009C7F49" w:rsidRDefault="009C7F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F2BA72" w14:textId="77777777" w:rsidR="009C7F49" w:rsidRDefault="009C7F49" w:rsidP="009C7F49">
      <w:pPr>
        <w:spacing w:after="0" w:line="240" w:lineRule="auto"/>
      </w:pPr>
      <w:r>
        <w:separator/>
      </w:r>
    </w:p>
  </w:footnote>
  <w:footnote w:type="continuationSeparator" w:id="0">
    <w:p w14:paraId="5C6330D6" w14:textId="77777777" w:rsidR="009C7F49" w:rsidRDefault="009C7F49" w:rsidP="009C7F49">
      <w:pPr>
        <w:spacing w:after="0" w:line="240" w:lineRule="auto"/>
      </w:pPr>
      <w:r>
        <w:continuationSeparator/>
      </w:r>
    </w:p>
  </w:footnote>
  <w:footnote w:id="1">
    <w:p w14:paraId="06E0E469" w14:textId="77777777" w:rsidR="009C7F49" w:rsidRPr="00ED7280" w:rsidRDefault="009C7F49" w:rsidP="009C7F49">
      <w:pPr>
        <w:pStyle w:val="FootnoteText"/>
        <w:spacing w:line="480" w:lineRule="auto"/>
      </w:pPr>
      <w:r>
        <w:rPr>
          <w:rStyle w:val="FootnoteReference"/>
        </w:rPr>
        <w:footnoteRef/>
      </w:r>
      <w:r>
        <w:t>Lerdahl and Jackendoff’s (1983, 21) concept of</w:t>
      </w:r>
      <w:r w:rsidRPr="00ED7280">
        <w:t xml:space="preserve"> tactus </w:t>
      </w:r>
      <w:r>
        <w:t>refers to</w:t>
      </w:r>
      <w:r w:rsidRPr="00ED7280">
        <w:t xml:space="preserve"> the level of meter most prominent for perception. </w:t>
      </w:r>
    </w:p>
  </w:footnote>
  <w:footnote w:id="2">
    <w:p w14:paraId="7CA73B4D" w14:textId="77777777" w:rsidR="009C7F49" w:rsidRDefault="009C7F49" w:rsidP="009C7F49">
      <w:pPr>
        <w:pStyle w:val="FootnoteText"/>
        <w:spacing w:line="480" w:lineRule="auto"/>
      </w:pPr>
      <w:r>
        <w:rPr>
          <w:rStyle w:val="FootnoteReference"/>
        </w:rPr>
        <w:footnoteRef/>
      </w:r>
      <w:r>
        <w:t xml:space="preserve"> T</w:t>
      </w:r>
      <w:r w:rsidRPr="003240E5">
        <w:t>he song “Uzh ty niva moya” op. 4 no. 5</w:t>
      </w:r>
      <w:r>
        <w:t>,</w:t>
      </w:r>
      <w:r w:rsidRPr="003240E5">
        <w:t xml:space="preserve"> the E-minor prelude from op. 32</w:t>
      </w:r>
      <w:r>
        <w:t xml:space="preserve">, and much of the 1915 All-Night Vigil illustrate this affinity. </w:t>
      </w:r>
    </w:p>
  </w:footnote>
  <w:footnote w:id="3">
    <w:p w14:paraId="119C232D" w14:textId="77777777" w:rsidR="008B5A33" w:rsidRPr="008B5A33" w:rsidRDefault="008B5A33" w:rsidP="008B5A33">
      <w:pPr>
        <w:pStyle w:val="FootnoteText"/>
        <w:rPr>
          <w:lang w:val="en-US"/>
        </w:rPr>
      </w:pPr>
      <w:r>
        <w:rPr>
          <w:rStyle w:val="FootnoteReference"/>
        </w:rPr>
        <w:footnoteRef/>
      </w:r>
      <w:r>
        <w:t xml:space="preserve"> </w:t>
      </w:r>
      <w:r w:rsidRPr="008B5A33">
        <w:rPr>
          <w:lang w:val="en-US"/>
        </w:rPr>
        <w:t>Another piece of Rachmaninoff’s that plays with an 18</w:t>
      </w:r>
      <w:r w:rsidRPr="008B5A33">
        <w:rPr>
          <w:vertAlign w:val="superscript"/>
          <w:lang w:val="en-US"/>
        </w:rPr>
        <w:t>th</w:t>
      </w:r>
      <w:r w:rsidRPr="008B5A33">
        <w:rPr>
          <w:lang w:val="en-US"/>
        </w:rPr>
        <w:t xml:space="preserve">-century topic, in this case the minuet, is the D-Minor prelude, op. 23 no. 3. </w:t>
      </w:r>
    </w:p>
    <w:p w14:paraId="28F4BEBD" w14:textId="2DFE2E4B" w:rsidR="008B5A33" w:rsidRDefault="008B5A33">
      <w:pPr>
        <w:pStyle w:val="FootnoteText"/>
      </w:pPr>
    </w:p>
  </w:footnote>
  <w:footnote w:id="4">
    <w:p w14:paraId="369AEACA" w14:textId="023903AF" w:rsidR="009C7F49" w:rsidRDefault="009C7F49" w:rsidP="009C7F49">
      <w:pPr>
        <w:pStyle w:val="FootnoteText"/>
        <w:spacing w:line="480" w:lineRule="auto"/>
      </w:pPr>
      <w:r>
        <w:rPr>
          <w:rStyle w:val="FootnoteReference"/>
        </w:rPr>
        <w:footnoteRef/>
      </w:r>
      <w:r>
        <w:t xml:space="preserve"> Strictly speaking, m. 9 does not qualify as a HC in Caplin’s taxonomy, since he requires the cadential dominant to enter in root-position form, whereas this V first occurs in a 6/4 position. One solution to this problem is to consider the V6/4 </w:t>
      </w:r>
      <w:r w:rsidRPr="00E0423F">
        <w:t>on the second eighth-note of m. 9</w:t>
      </w:r>
      <w:r>
        <w:t xml:space="preserve"> as an anticipation of the “real” V on the second quarter note. Alternatively, one might call m. 9 a “dominant arrival” (Caplin 2013, 224) instead of a true cadence. </w:t>
      </w:r>
      <w:r w:rsidR="004A4B4C">
        <w:t xml:space="preserve">(Of course, this problem is in place no matter how one reads the form of the antecedent.) </w:t>
      </w:r>
      <w:r>
        <w:t>What matters here is</w:t>
      </w:r>
      <w:r w:rsidR="004A4B4C">
        <w:t>,</w:t>
      </w:r>
      <w:r>
        <w:t xml:space="preserve"> not so much the cadential status of m. 9, but the regular phrase structure of the thematic material and its broadly periodic shape. I will continue to refer to m. 9 as a HC, with the understanding that a HC may be a looser concept in early 20</w:t>
      </w:r>
      <w:r w:rsidRPr="00002B4D">
        <w:rPr>
          <w:vertAlign w:val="superscript"/>
        </w:rPr>
        <w:t>th</w:t>
      </w:r>
      <w:r>
        <w:t xml:space="preserve">-century music compared to music around 1800. </w:t>
      </w:r>
    </w:p>
  </w:footnote>
  <w:footnote w:id="5">
    <w:p w14:paraId="343EDF12" w14:textId="77777777" w:rsidR="009C7F49" w:rsidRDefault="009C7F49" w:rsidP="009C7F49">
      <w:pPr>
        <w:pStyle w:val="FootnoteText"/>
        <w:spacing w:line="480" w:lineRule="auto"/>
      </w:pPr>
      <w:r>
        <w:rPr>
          <w:rStyle w:val="FootnoteReference"/>
        </w:rPr>
        <w:footnoteRef/>
      </w:r>
      <w:r>
        <w:t xml:space="preserve"> A third option would be a hypermetrical transition (concept from </w:t>
      </w:r>
      <w:proofErr w:type="spellStart"/>
      <w:r>
        <w:t>Temperley</w:t>
      </w:r>
      <w:proofErr w:type="spellEnd"/>
      <w:r>
        <w:t xml:space="preserve"> 2008) between the odd-strong beginning and the even-strong ending of the antecedent. The consequent would then do the opposite: transition from even-strong to odd-strong hypermeter. </w:t>
      </w:r>
    </w:p>
  </w:footnote>
  <w:footnote w:id="6">
    <w:p w14:paraId="6B008496" w14:textId="77777777" w:rsidR="009C7F49" w:rsidRDefault="009C7F49" w:rsidP="009C7F49">
      <w:pPr>
        <w:pStyle w:val="FootnoteText"/>
        <w:spacing w:line="480" w:lineRule="auto"/>
      </w:pPr>
      <w:r>
        <w:rPr>
          <w:rStyle w:val="FootnoteReference"/>
        </w:rPr>
        <w:footnoteRef/>
      </w:r>
      <w:r>
        <w:t xml:space="preserve"> </w:t>
      </w:r>
      <w:r w:rsidRPr="00367AB5">
        <w:t xml:space="preserve">I will show </w:t>
      </w:r>
      <w:r>
        <w:t xml:space="preserve">below </w:t>
      </w:r>
      <w:r w:rsidRPr="00367AB5">
        <w:t xml:space="preserve">that the large-scale recapitulation </w:t>
      </w:r>
      <w:r>
        <w:t xml:space="preserve">indirectly </w:t>
      </w:r>
      <w:r w:rsidRPr="00367AB5">
        <w:t xml:space="preserve">supports </w:t>
      </w:r>
      <w:r>
        <w:t xml:space="preserve">the beginning-accented reading. </w:t>
      </w:r>
    </w:p>
  </w:footnote>
  <w:footnote w:id="7">
    <w:p w14:paraId="0DEB6089" w14:textId="77777777" w:rsidR="009C7F49" w:rsidRDefault="009C7F49" w:rsidP="009C7F49">
      <w:pPr>
        <w:pStyle w:val="FootnoteText"/>
        <w:spacing w:line="480" w:lineRule="auto"/>
      </w:pPr>
      <w:r>
        <w:rPr>
          <w:rStyle w:val="FootnoteReference"/>
        </w:rPr>
        <w:footnoteRef/>
      </w:r>
      <w:r>
        <w:t xml:space="preserve"> In the alternative, sentential reading of mm. 1–5, the extra beat would fit with a third, incomplete statement of the basic idea (the b.i. corresponding in this case to m. 1) and the beginning of the continuation (notated mm. 3–5) </w:t>
      </w:r>
    </w:p>
  </w:footnote>
  <w:footnote w:id="8">
    <w:p w14:paraId="19E32CEE" w14:textId="77777777" w:rsidR="009C7F49" w:rsidRDefault="009C7F49" w:rsidP="009C7F49">
      <w:pPr>
        <w:pStyle w:val="FootnoteText"/>
        <w:spacing w:line="480" w:lineRule="auto"/>
      </w:pPr>
      <w:r>
        <w:rPr>
          <w:rStyle w:val="FootnoteReference"/>
        </w:rPr>
        <w:footnoteRef/>
      </w:r>
      <w:r>
        <w:t xml:space="preserve"> The post-cadential function of the final section comes from a lengthy tonic harmony (sustained for either four or seven measures depending on individual reading), followed by repeated cadential progressions—a typical post-cadential technique (Caplin 2013, 135). </w:t>
      </w:r>
    </w:p>
  </w:footnote>
  <w:footnote w:id="9">
    <w:p w14:paraId="3B3F730A" w14:textId="77777777" w:rsidR="009C7F49" w:rsidRDefault="009C7F49" w:rsidP="009C7F49">
      <w:pPr>
        <w:pStyle w:val="FootnoteText"/>
        <w:spacing w:line="480" w:lineRule="auto"/>
      </w:pPr>
      <w:r>
        <w:rPr>
          <w:rStyle w:val="FootnoteReference"/>
        </w:rPr>
        <w:footnoteRef/>
      </w:r>
      <w:r>
        <w:t xml:space="preserve"> In the alternative (sentential) reading of the opening measures, the recapitulatory passage I read as retransition=&gt;a’ would be a series of presentation-like phrases, what Rothstein (1989, 296) a </w:t>
      </w:r>
      <w:r w:rsidRPr="00A37A25">
        <w:rPr>
          <w:i/>
          <w:iCs/>
        </w:rPr>
        <w:t>stollen process</w:t>
      </w:r>
      <w:r>
        <w:t xml:space="preserve">. </w:t>
      </w:r>
    </w:p>
  </w:footnote>
  <w:footnote w:id="10">
    <w:p w14:paraId="0C2D128A" w14:textId="77777777" w:rsidR="009C7F49" w:rsidRDefault="009C7F49" w:rsidP="009C7F49">
      <w:pPr>
        <w:pStyle w:val="FootnoteText"/>
        <w:spacing w:line="480" w:lineRule="auto"/>
      </w:pPr>
      <w:r>
        <w:rPr>
          <w:rStyle w:val="FootnoteReference"/>
        </w:rPr>
        <w:footnoteRef/>
      </w:r>
      <w:r>
        <w:t xml:space="preserve"> In the A section, the corresponding cadence is shown as a HC before the tonic chord. In the recapitulation, this tonic is retrospectively reinterpreted as the final PAC as the remaining music prolongs the tonic in a post-cadential fashion.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F49"/>
    <w:rsid w:val="000F045B"/>
    <w:rsid w:val="001A0406"/>
    <w:rsid w:val="001B7296"/>
    <w:rsid w:val="0020677B"/>
    <w:rsid w:val="0021292C"/>
    <w:rsid w:val="002677EA"/>
    <w:rsid w:val="00392662"/>
    <w:rsid w:val="00395D33"/>
    <w:rsid w:val="003F74F2"/>
    <w:rsid w:val="00414077"/>
    <w:rsid w:val="00425BCA"/>
    <w:rsid w:val="004344F2"/>
    <w:rsid w:val="00453BC5"/>
    <w:rsid w:val="00456753"/>
    <w:rsid w:val="004A4B4C"/>
    <w:rsid w:val="005A070F"/>
    <w:rsid w:val="005A2A5A"/>
    <w:rsid w:val="005C353D"/>
    <w:rsid w:val="005D5DEC"/>
    <w:rsid w:val="0064232A"/>
    <w:rsid w:val="00681063"/>
    <w:rsid w:val="00687242"/>
    <w:rsid w:val="006A3440"/>
    <w:rsid w:val="0078742A"/>
    <w:rsid w:val="007900B2"/>
    <w:rsid w:val="008B5A33"/>
    <w:rsid w:val="009C7F49"/>
    <w:rsid w:val="00A43479"/>
    <w:rsid w:val="00A44CB1"/>
    <w:rsid w:val="00C44C78"/>
    <w:rsid w:val="00DB2F06"/>
    <w:rsid w:val="00DE6093"/>
    <w:rsid w:val="00EC0B2B"/>
    <w:rsid w:val="00EE50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0ABD8"/>
  <w15:chartTrackingRefBased/>
  <w15:docId w15:val="{8086364B-92A3-4D6E-BFE2-966498BBB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F49"/>
    <w:rPr>
      <w:rFonts w:eastAsiaTheme="majorEastAsia" w:cstheme="majorBidi"/>
      <w:color w:val="272727" w:themeColor="text1" w:themeTint="D8"/>
    </w:rPr>
  </w:style>
  <w:style w:type="paragraph" w:styleId="Title">
    <w:name w:val="Title"/>
    <w:basedOn w:val="Normal"/>
    <w:next w:val="Normal"/>
    <w:link w:val="TitleChar"/>
    <w:uiPriority w:val="10"/>
    <w:qFormat/>
    <w:rsid w:val="009C7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F49"/>
    <w:pPr>
      <w:spacing w:before="160"/>
      <w:jc w:val="center"/>
    </w:pPr>
    <w:rPr>
      <w:i/>
      <w:iCs/>
      <w:color w:val="404040" w:themeColor="text1" w:themeTint="BF"/>
    </w:rPr>
  </w:style>
  <w:style w:type="character" w:customStyle="1" w:styleId="QuoteChar">
    <w:name w:val="Quote Char"/>
    <w:basedOn w:val="DefaultParagraphFont"/>
    <w:link w:val="Quote"/>
    <w:uiPriority w:val="29"/>
    <w:rsid w:val="009C7F49"/>
    <w:rPr>
      <w:i/>
      <w:iCs/>
      <w:color w:val="404040" w:themeColor="text1" w:themeTint="BF"/>
    </w:rPr>
  </w:style>
  <w:style w:type="paragraph" w:styleId="ListParagraph">
    <w:name w:val="List Paragraph"/>
    <w:basedOn w:val="Normal"/>
    <w:uiPriority w:val="34"/>
    <w:qFormat/>
    <w:rsid w:val="009C7F49"/>
    <w:pPr>
      <w:ind w:left="720"/>
      <w:contextualSpacing/>
    </w:pPr>
  </w:style>
  <w:style w:type="character" w:styleId="IntenseEmphasis">
    <w:name w:val="Intense Emphasis"/>
    <w:basedOn w:val="DefaultParagraphFont"/>
    <w:uiPriority w:val="21"/>
    <w:qFormat/>
    <w:rsid w:val="009C7F49"/>
    <w:rPr>
      <w:i/>
      <w:iCs/>
      <w:color w:val="0F4761" w:themeColor="accent1" w:themeShade="BF"/>
    </w:rPr>
  </w:style>
  <w:style w:type="paragraph" w:styleId="IntenseQuote">
    <w:name w:val="Intense Quote"/>
    <w:basedOn w:val="Normal"/>
    <w:next w:val="Normal"/>
    <w:link w:val="IntenseQuoteChar"/>
    <w:uiPriority w:val="30"/>
    <w:qFormat/>
    <w:rsid w:val="009C7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F49"/>
    <w:rPr>
      <w:i/>
      <w:iCs/>
      <w:color w:val="0F4761" w:themeColor="accent1" w:themeShade="BF"/>
    </w:rPr>
  </w:style>
  <w:style w:type="character" w:styleId="IntenseReference">
    <w:name w:val="Intense Reference"/>
    <w:basedOn w:val="DefaultParagraphFont"/>
    <w:uiPriority w:val="32"/>
    <w:qFormat/>
    <w:rsid w:val="009C7F49"/>
    <w:rPr>
      <w:b/>
      <w:bCs/>
      <w:smallCaps/>
      <w:color w:val="0F4761" w:themeColor="accent1" w:themeShade="BF"/>
      <w:spacing w:val="5"/>
    </w:rPr>
  </w:style>
  <w:style w:type="paragraph" w:styleId="FootnoteText">
    <w:name w:val="footnote text"/>
    <w:basedOn w:val="Normal"/>
    <w:link w:val="FootnoteTextChar"/>
    <w:uiPriority w:val="99"/>
    <w:semiHidden/>
    <w:unhideWhenUsed/>
    <w:rsid w:val="009C7F49"/>
    <w:pPr>
      <w:spacing w:after="0" w:line="240" w:lineRule="auto"/>
    </w:pPr>
    <w:rPr>
      <w:sz w:val="20"/>
      <w:szCs w:val="20"/>
      <w14:ligatures w14:val="none"/>
    </w:rPr>
  </w:style>
  <w:style w:type="character" w:customStyle="1" w:styleId="FootnoteTextChar">
    <w:name w:val="Footnote Text Char"/>
    <w:basedOn w:val="DefaultParagraphFont"/>
    <w:link w:val="FootnoteText"/>
    <w:uiPriority w:val="99"/>
    <w:semiHidden/>
    <w:rsid w:val="009C7F49"/>
    <w:rPr>
      <w:sz w:val="20"/>
      <w:szCs w:val="20"/>
      <w14:ligatures w14:val="none"/>
    </w:rPr>
  </w:style>
  <w:style w:type="character" w:styleId="FootnoteReference">
    <w:name w:val="footnote reference"/>
    <w:basedOn w:val="DefaultParagraphFont"/>
    <w:uiPriority w:val="99"/>
    <w:semiHidden/>
    <w:unhideWhenUsed/>
    <w:rsid w:val="009C7F49"/>
    <w:rPr>
      <w:vertAlign w:val="superscript"/>
    </w:rPr>
  </w:style>
  <w:style w:type="paragraph" w:styleId="Header">
    <w:name w:val="header"/>
    <w:basedOn w:val="Normal"/>
    <w:link w:val="HeaderChar"/>
    <w:uiPriority w:val="99"/>
    <w:unhideWhenUsed/>
    <w:rsid w:val="009C7F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7F49"/>
  </w:style>
  <w:style w:type="paragraph" w:styleId="Footer">
    <w:name w:val="footer"/>
    <w:basedOn w:val="Normal"/>
    <w:link w:val="FooterChar"/>
    <w:uiPriority w:val="99"/>
    <w:unhideWhenUsed/>
    <w:rsid w:val="009C7F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F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AAF03-7069-4781-8BD1-3A116239C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18</Pages>
  <Words>3268</Words>
  <Characters>18634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Bakulina, Prof.</dc:creator>
  <cp:keywords/>
  <dc:description/>
  <cp:lastModifiedBy>Ellen Bakulina, Prof.</cp:lastModifiedBy>
  <cp:revision>23</cp:revision>
  <dcterms:created xsi:type="dcterms:W3CDTF">2024-05-23T03:32:00Z</dcterms:created>
  <dcterms:modified xsi:type="dcterms:W3CDTF">2024-05-23T10:51:00Z</dcterms:modified>
</cp:coreProperties>
</file>