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A01BA" w14:textId="4F7294BF" w:rsidR="005A070F" w:rsidRDefault="001D744F" w:rsidP="00366F74">
      <w:pPr>
        <w:pStyle w:val="Title"/>
        <w:spacing w:after="360"/>
      </w:pPr>
      <w:bookmarkStart w:id="0" w:name="_Hlk167313265"/>
      <w:r w:rsidRPr="00322379">
        <w:t xml:space="preserve">Extra Measures in Rachmaninoff’s G-Minor Prelude, Op. 23, </w:t>
      </w:r>
      <w:r w:rsidR="00226D25">
        <w:t>N</w:t>
      </w:r>
      <w:r w:rsidRPr="00322379">
        <w:t>o. 5</w:t>
      </w:r>
    </w:p>
    <w:p w14:paraId="1F9DADED" w14:textId="0DBF86BD" w:rsidR="002F5128" w:rsidRPr="002F5128" w:rsidRDefault="002F5128" w:rsidP="002F5128">
      <w:pPr>
        <w:pStyle w:val="Subtitle"/>
      </w:pPr>
      <w:r>
        <w:t>ELLEN BAKULINA</w:t>
      </w:r>
    </w:p>
    <w:p w14:paraId="43C949D1" w14:textId="77777777" w:rsidR="00322379" w:rsidRDefault="00322379" w:rsidP="00322379">
      <w:pPr>
        <w:rPr>
          <w:rFonts w:ascii="Garamond" w:eastAsia="Calibri" w:hAnsi="Garamond"/>
        </w:rPr>
      </w:pPr>
      <w:bookmarkStart w:id="1" w:name="_Hlk167313206"/>
      <w:bookmarkEnd w:id="0"/>
    </w:p>
    <w:p w14:paraId="76BD544D" w14:textId="6D3257C6" w:rsidR="0081569B" w:rsidRPr="00322379" w:rsidRDefault="0081569B" w:rsidP="00926DFF">
      <w:r w:rsidRPr="00322379">
        <w:t>The title of this</w:t>
      </w:r>
      <w:r w:rsidR="00F01042" w:rsidRPr="00322379">
        <w:t xml:space="preserve"> article</w:t>
      </w:r>
      <w:r w:rsidRPr="00322379">
        <w:t xml:space="preserve"> alludes to Andrew Imbrie’s “Extra </w:t>
      </w:r>
      <w:r w:rsidR="005C53E7">
        <w:t>M</w:t>
      </w:r>
      <w:r w:rsidRPr="00322379">
        <w:t xml:space="preserve">easures and </w:t>
      </w:r>
      <w:r w:rsidR="005C53E7">
        <w:t>M</w:t>
      </w:r>
      <w:r w:rsidRPr="00322379">
        <w:t xml:space="preserve">etrical </w:t>
      </w:r>
      <w:r w:rsidR="005C53E7">
        <w:t>A</w:t>
      </w:r>
      <w:r w:rsidRPr="00322379">
        <w:t>mbiguity in Beethoven”</w:t>
      </w:r>
      <w:r w:rsidR="00A75AD8">
        <w:t xml:space="preserve"> (1973).</w:t>
      </w:r>
      <w:r w:rsidRPr="00322379">
        <w:t xml:space="preserve"> </w:t>
      </w:r>
      <w:r w:rsidR="00322379">
        <w:t xml:space="preserve">In that </w:t>
      </w:r>
      <w:r w:rsidR="00A75AD8">
        <w:t>essay</w:t>
      </w:r>
      <w:r w:rsidR="00322379">
        <w:t xml:space="preserve">, </w:t>
      </w:r>
      <w:r w:rsidRPr="00322379">
        <w:t>Imbrie</w:t>
      </w:r>
      <w:r w:rsidR="00322379">
        <w:t xml:space="preserve"> argues </w:t>
      </w:r>
      <w:r w:rsidRPr="00322379">
        <w:t xml:space="preserve">that in </w:t>
      </w:r>
      <w:r w:rsidR="00322379">
        <w:t xml:space="preserve">the first </w:t>
      </w:r>
      <w:r w:rsidRPr="00322379">
        <w:t>movement of the Fifth Symphony, after many regular four-bar hypermeasures, Beethoven adds an extra bar toward the end of the development, s</w:t>
      </w:r>
      <w:r w:rsidR="008F12B4">
        <w:t>uch</w:t>
      </w:r>
      <w:r w:rsidRPr="00322379">
        <w:t xml:space="preserve"> that the performer and the listener need to switch to a new hypermetrical pattern—from even-strong to odd-strong.</w:t>
      </w:r>
      <w:r w:rsidR="00322379" w:rsidRPr="008D1387">
        <w:rPr>
          <w:rStyle w:val="FootnoteReference"/>
        </w:rPr>
        <w:footnoteReference w:id="1"/>
      </w:r>
      <w:r w:rsidRPr="00322379">
        <w:t xml:space="preserve"> Beethoven’s notated measures remain the same throughout, but the perceived hypermetric accent shifts.</w:t>
      </w:r>
      <w:r w:rsidR="00EE5E12" w:rsidRPr="008D1387">
        <w:rPr>
          <w:rStyle w:val="FootnoteReference"/>
        </w:rPr>
        <w:footnoteReference w:id="2"/>
      </w:r>
    </w:p>
    <w:p w14:paraId="51569A18" w14:textId="77777777" w:rsidR="00322379" w:rsidRDefault="00322379" w:rsidP="00322379">
      <w:pPr>
        <w:rPr>
          <w:rFonts w:ascii="Garamond" w:eastAsia="Calibri" w:hAnsi="Garamond"/>
        </w:rPr>
      </w:pPr>
    </w:p>
    <w:p w14:paraId="2B984FCB" w14:textId="355BCD19" w:rsidR="00847D41" w:rsidRDefault="0081569B">
      <w:r w:rsidRPr="00322379">
        <w:t>The situation in Rachmaninoff’s G-Minor Prelude</w:t>
      </w:r>
      <w:r w:rsidR="00920244">
        <w:t xml:space="preserve">, </w:t>
      </w:r>
      <w:r w:rsidR="0057481D">
        <w:t>o</w:t>
      </w:r>
      <w:r w:rsidR="00920244">
        <w:t xml:space="preserve">p. 23, </w:t>
      </w:r>
      <w:r w:rsidR="0057481D">
        <w:t>n</w:t>
      </w:r>
      <w:r w:rsidR="00920244">
        <w:t>o. 5</w:t>
      </w:r>
      <w:r w:rsidRPr="00322379">
        <w:t xml:space="preserve"> (1901, published in 1904)</w:t>
      </w:r>
      <w:r w:rsidR="00920244">
        <w:t>,</w:t>
      </w:r>
      <w:r w:rsidRPr="00322379">
        <w:t xml:space="preserve"> is different</w:t>
      </w:r>
      <w:r w:rsidR="00322379">
        <w:t>.</w:t>
      </w:r>
      <w:r w:rsidRPr="00322379">
        <w:t xml:space="preserve"> </w:t>
      </w:r>
      <w:r w:rsidR="00322379">
        <w:t>H</w:t>
      </w:r>
      <w:r w:rsidRPr="00322379">
        <w:t xml:space="preserve">ere, the </w:t>
      </w:r>
      <w:r w:rsidRPr="00322379">
        <w:rPr>
          <w:i/>
          <w:iCs/>
        </w:rPr>
        <w:t>notated</w:t>
      </w:r>
      <w:r w:rsidRPr="00322379">
        <w:t xml:space="preserve"> measure changes from 4/4 to 2/4 twice </w:t>
      </w:r>
      <w:r w:rsidR="007B2E70">
        <w:t>over</w:t>
      </w:r>
      <w:r w:rsidR="007B2E70" w:rsidRPr="00322379">
        <w:t xml:space="preserve"> </w:t>
      </w:r>
      <w:r w:rsidRPr="00322379">
        <w:t>the course of the piece</w:t>
      </w:r>
      <w:r w:rsidR="00E46EDF">
        <w:t>.</w:t>
      </w:r>
      <w:r w:rsidRPr="00322379">
        <w:t xml:space="preserve"> </w:t>
      </w:r>
      <w:r w:rsidR="00E46EDF">
        <w:t>Measures</w:t>
      </w:r>
      <w:r w:rsidRPr="00322379">
        <w:t xml:space="preserve"> 9 and 16</w:t>
      </w:r>
      <w:r w:rsidR="00087216">
        <w:t>,</w:t>
      </w:r>
      <w:r w:rsidR="00322379">
        <w:t xml:space="preserve"> </w:t>
      </w:r>
      <w:r w:rsidR="000C0F6B">
        <w:t xml:space="preserve">the 2/4 measures, </w:t>
      </w:r>
      <w:r w:rsidR="007351D2">
        <w:t>contain</w:t>
      </w:r>
      <w:r w:rsidR="00322379">
        <w:t xml:space="preserve"> the</w:t>
      </w:r>
      <w:r w:rsidR="002A3D8A" w:rsidRPr="00322379">
        <w:t xml:space="preserve"> two ca</w:t>
      </w:r>
      <w:r w:rsidRPr="00322379">
        <w:t>dential points within the opening section</w:t>
      </w:r>
      <w:r w:rsidR="00322379">
        <w:t xml:space="preserve"> in the form of</w:t>
      </w:r>
      <w:r w:rsidRPr="00322379">
        <w:t xml:space="preserve"> a </w:t>
      </w:r>
      <w:r w:rsidR="00322379">
        <w:t>half cadence (</w:t>
      </w:r>
      <w:r w:rsidRPr="00322379">
        <w:t>HC</w:t>
      </w:r>
      <w:r w:rsidR="00322379">
        <w:t>)</w:t>
      </w:r>
      <w:r w:rsidRPr="00322379">
        <w:t xml:space="preserve"> and </w:t>
      </w:r>
      <w:r w:rsidR="00322379">
        <w:t>perfect authentic cadence (</w:t>
      </w:r>
      <w:r w:rsidRPr="00322379">
        <w:t>PAC</w:t>
      </w:r>
      <w:r w:rsidR="00322379">
        <w:t>)</w:t>
      </w:r>
      <w:r w:rsidR="000C0F6B">
        <w:t xml:space="preserve"> (</w:t>
      </w:r>
      <w:r w:rsidR="000C0F6B" w:rsidRPr="000C0F6B">
        <w:rPr>
          <w:b/>
          <w:bCs/>
          <w:u w:val="single"/>
        </w:rPr>
        <w:t>Example 1</w:t>
      </w:r>
      <w:r w:rsidR="000C0F6B">
        <w:t>)</w:t>
      </w:r>
      <w:r w:rsidRPr="00322379">
        <w:t xml:space="preserve">. The purpose of this paper is to show that, like the tip of an iceberg, this seemingly innocuous change of time signature is connected to a set of interrelated </w:t>
      </w:r>
      <w:r w:rsidR="004B4D0B" w:rsidRPr="00322379">
        <w:t xml:space="preserve">phrase-rhythmic and formal </w:t>
      </w:r>
      <w:r w:rsidRPr="00322379">
        <w:t>processes</w:t>
      </w:r>
      <w:r w:rsidR="004B4D0B" w:rsidRPr="00322379">
        <w:t>,</w:t>
      </w:r>
      <w:r w:rsidR="004F7DB0">
        <w:t xml:space="preserve"> </w:t>
      </w:r>
      <w:r w:rsidR="008839B6">
        <w:t>the</w:t>
      </w:r>
      <w:r w:rsidR="004F7DB0">
        <w:t xml:space="preserve"> importance </w:t>
      </w:r>
      <w:r w:rsidR="008839B6">
        <w:t xml:space="preserve">of which </w:t>
      </w:r>
      <w:r w:rsidR="004F7DB0">
        <w:t>is</w:t>
      </w:r>
      <w:r w:rsidRPr="00322379">
        <w:t xml:space="preserve"> invisible at first sight. </w:t>
      </w:r>
      <w:r w:rsidR="008F12B4">
        <w:t>As</w:t>
      </w:r>
      <w:r w:rsidR="008F12B4" w:rsidRPr="00322379">
        <w:t xml:space="preserve"> </w:t>
      </w:r>
      <w:r w:rsidR="00F01042" w:rsidRPr="00322379">
        <w:t xml:space="preserve">in Beethoven’s symphony, there </w:t>
      </w:r>
      <w:r w:rsidR="00C32DE5">
        <w:t>exists</w:t>
      </w:r>
      <w:r w:rsidR="00F01042" w:rsidRPr="00322379">
        <w:t xml:space="preserve"> </w:t>
      </w:r>
      <w:r w:rsidRPr="00322379">
        <w:t>an extra</w:t>
      </w:r>
      <w:r w:rsidR="00412D3B" w:rsidRPr="00322379">
        <w:t xml:space="preserve"> unit (</w:t>
      </w:r>
      <w:r w:rsidR="00B12346">
        <w:t xml:space="preserve">here, </w:t>
      </w:r>
      <w:r w:rsidR="00412D3B" w:rsidRPr="00322379">
        <w:t>a half note)</w:t>
      </w:r>
      <w:r w:rsidRPr="00322379">
        <w:t xml:space="preserve"> at one metrical level. </w:t>
      </w:r>
      <w:r w:rsidR="00412D3B" w:rsidRPr="00322379">
        <w:t xml:space="preserve">Its </w:t>
      </w:r>
      <w:r w:rsidRPr="00322379">
        <w:t xml:space="preserve">location and function reveal </w:t>
      </w:r>
      <w:r w:rsidR="00C32DE5">
        <w:t>much</w:t>
      </w:r>
      <w:r w:rsidRPr="00322379">
        <w:t xml:space="preserve"> about the </w:t>
      </w:r>
      <w:r w:rsidRPr="00322379">
        <w:lastRenderedPageBreak/>
        <w:t xml:space="preserve">piece, particularly the first and last sections: </w:t>
      </w:r>
      <w:r w:rsidR="00B12346">
        <w:t>how the measure is</w:t>
      </w:r>
      <w:r w:rsidRPr="00322379">
        <w:t xml:space="preserve"> perceived</w:t>
      </w:r>
      <w:r w:rsidR="00B12346">
        <w:t>,</w:t>
      </w:r>
      <w:r w:rsidRPr="00322379">
        <w:t xml:space="preserve"> </w:t>
      </w:r>
      <w:r w:rsidR="00B12346">
        <w:t xml:space="preserve">as opposed to </w:t>
      </w:r>
      <w:r w:rsidRPr="00322379">
        <w:t xml:space="preserve">notated; how phrase-structural asymmetry engenders multiple ways to hear metrical shifts; and how these shifts relate to formal functionality and formal </w:t>
      </w:r>
      <w:r w:rsidRPr="00322379">
        <w:rPr>
          <w:i/>
          <w:iCs/>
        </w:rPr>
        <w:t>becoming</w:t>
      </w:r>
      <w:r w:rsidRPr="00322379">
        <w:t>.</w:t>
      </w:r>
      <w:r w:rsidR="00897584">
        <w:rPr>
          <w:rStyle w:val="FootnoteReference"/>
        </w:rPr>
        <w:footnoteReference w:id="3"/>
      </w:r>
    </w:p>
    <w:p w14:paraId="4A63C0E7" w14:textId="77777777" w:rsidR="007E1762" w:rsidRDefault="007E1762"/>
    <w:p w14:paraId="1071AFF4" w14:textId="5315B1CC" w:rsidR="007E1762" w:rsidRPr="007E1762" w:rsidRDefault="007E1762">
      <w:r>
        <w:rPr>
          <w:b/>
          <w:bCs/>
        </w:rPr>
        <w:t xml:space="preserve">Example 1 </w:t>
      </w:r>
      <w:r w:rsidRPr="007E1762">
        <w:t>Serge</w:t>
      </w:r>
      <w:r>
        <w:t>i Rachmaninoff, Prelude in G Minor, op. 23, no. 5, mm. 1–16</w:t>
      </w:r>
      <w:r w:rsidR="009A2A1B">
        <w:t>.</w:t>
      </w:r>
      <w:r w:rsidR="000A0D66">
        <w:t xml:space="preserve"> </w:t>
      </w:r>
      <w:r w:rsidR="009A2A1B">
        <w:t>T</w:t>
      </w:r>
      <w:r w:rsidR="000A0D66">
        <w:t>hematic material marked with brackets</w:t>
      </w:r>
      <w:r w:rsidR="007D7E49">
        <w:t>; anomalous 2/4 measures marked with boxes</w:t>
      </w:r>
      <w:r w:rsidR="009A2A1B">
        <w:t>.</w:t>
      </w:r>
    </w:p>
    <w:p w14:paraId="006A8D8D" w14:textId="77777777" w:rsidR="00847D41" w:rsidRDefault="00847D41" w:rsidP="00847D41"/>
    <w:p w14:paraId="53B64C13" w14:textId="174418D6" w:rsidR="004341FB" w:rsidRDefault="0081569B" w:rsidP="00847D41">
      <w:r w:rsidRPr="00322379">
        <w:t>I offer one possible reading of the opening section</w:t>
      </w:r>
      <w:r w:rsidR="00C32DE5">
        <w:t>—</w:t>
      </w:r>
      <w:r w:rsidRPr="00322379">
        <w:t>four-square phrases framed by non-thematic material</w:t>
      </w:r>
      <w:r w:rsidR="00C32DE5">
        <w:t>—</w:t>
      </w:r>
      <w:r w:rsidRPr="00322379">
        <w:t xml:space="preserve">and what happens </w:t>
      </w:r>
      <w:r w:rsidR="00614274">
        <w:t>to</w:t>
      </w:r>
      <w:r w:rsidR="00614274" w:rsidRPr="00322379">
        <w:t xml:space="preserve"> </w:t>
      </w:r>
      <w:r w:rsidRPr="00322379">
        <w:t xml:space="preserve">it in the recapitulation, which simultaneously resolves metrical ambiguities posed earlier and creates new ambiguities </w:t>
      </w:r>
      <w:r w:rsidR="00C32DE5">
        <w:t>with respect to</w:t>
      </w:r>
      <w:r w:rsidRPr="00322379">
        <w:t xml:space="preserve"> formal function.</w:t>
      </w:r>
      <w:r w:rsidR="008666D9" w:rsidRPr="00FC49EA">
        <w:rPr>
          <w:rStyle w:val="FootnoteReference"/>
        </w:rPr>
        <w:footnoteReference w:id="4"/>
      </w:r>
      <w:r w:rsidRPr="00322379">
        <w:t xml:space="preserve"> I also suggest a possible re-notation of bar lines as an alternative reading of the metrical irregularity. </w:t>
      </w:r>
      <w:r w:rsidR="00614274" w:rsidRPr="00322379">
        <w:t>Attempt</w:t>
      </w:r>
      <w:r w:rsidR="00614274">
        <w:t>ing</w:t>
      </w:r>
      <w:r w:rsidR="00614274" w:rsidRPr="00322379">
        <w:t xml:space="preserve"> to find the origin of </w:t>
      </w:r>
      <w:r w:rsidR="008F12B4">
        <w:t>this</w:t>
      </w:r>
      <w:r w:rsidR="00614274" w:rsidRPr="00322379">
        <w:t xml:space="preserve"> metrical anomaly</w:t>
      </w:r>
      <w:r w:rsidR="00614274">
        <w:t>, I argue,</w:t>
      </w:r>
      <w:r w:rsidR="00614274" w:rsidRPr="00322379">
        <w:t xml:space="preserve"> lead</w:t>
      </w:r>
      <w:r w:rsidR="00614274">
        <w:t>s</w:t>
      </w:r>
      <w:r w:rsidR="00614274" w:rsidRPr="00322379">
        <w:t xml:space="preserve"> to a deeper understanding of the piece’s internal </w:t>
      </w:r>
      <w:r w:rsidR="00614274">
        <w:t xml:space="preserve">metric </w:t>
      </w:r>
      <w:r w:rsidR="00614274" w:rsidRPr="00322379">
        <w:t xml:space="preserve">workings. </w:t>
      </w:r>
      <w:r w:rsidR="00196385">
        <w:t xml:space="preserve">I thus </w:t>
      </w:r>
      <w:r w:rsidRPr="00322379">
        <w:t xml:space="preserve">reinforce the urge </w:t>
      </w:r>
      <w:r w:rsidR="00196385">
        <w:t>within metrical theory</w:t>
      </w:r>
      <w:r w:rsidRPr="00322379">
        <w:t xml:space="preserve"> to think beyond ostensible bar lines and </w:t>
      </w:r>
      <w:r w:rsidRPr="00322379">
        <w:rPr>
          <w:i/>
          <w:iCs/>
        </w:rPr>
        <w:t>not</w:t>
      </w:r>
      <w:r w:rsidRPr="00322379">
        <w:t xml:space="preserve"> take them at face value as simple and indisputable facts</w:t>
      </w:r>
      <w:r w:rsidR="00F643B5">
        <w:t xml:space="preserve"> (Lerdahl and Jackendoff 1983; Rothstein 1995, 2008)</w:t>
      </w:r>
      <w:r w:rsidRPr="00322379">
        <w:t xml:space="preserve">. A secondary objective is to explore how Rachmaninoff creatively transforms formal structures and principles </w:t>
      </w:r>
      <w:r w:rsidR="008F1007">
        <w:t>that</w:t>
      </w:r>
      <w:r w:rsidRPr="00322379">
        <w:t xml:space="preserve"> originate in late </w:t>
      </w:r>
      <w:r w:rsidR="00614274">
        <w:t>eighteenth</w:t>
      </w:r>
      <w:r w:rsidRPr="00322379">
        <w:t xml:space="preserve">-century practice, principles he internalized during his studies at the Moscow </w:t>
      </w:r>
      <w:r w:rsidRPr="00322379">
        <w:lastRenderedPageBreak/>
        <w:t>Conservatory</w:t>
      </w:r>
      <w:r w:rsidR="00614274">
        <w:t xml:space="preserve"> </w:t>
      </w:r>
      <w:r w:rsidR="00614274" w:rsidRPr="00322379">
        <w:t>(1888–92)</w:t>
      </w:r>
      <w:r w:rsidRPr="00322379">
        <w:t xml:space="preserve">. This task </w:t>
      </w:r>
      <w:r w:rsidR="000A1385">
        <w:t>continues</w:t>
      </w:r>
      <w:r w:rsidR="004C7215">
        <w:t xml:space="preserve"> scholarly</w:t>
      </w:r>
      <w:r w:rsidRPr="00322379">
        <w:t xml:space="preserve"> efforts to explore </w:t>
      </w:r>
      <w:r w:rsidR="00614274">
        <w:t>the</w:t>
      </w:r>
      <w:r w:rsidRPr="00322379">
        <w:t xml:space="preserve"> </w:t>
      </w:r>
      <w:r w:rsidR="006345FA">
        <w:t xml:space="preserve">application </w:t>
      </w:r>
      <w:r w:rsidRPr="00322379">
        <w:t>of Classical formal taxonomies to post-Classical music</w:t>
      </w:r>
      <w:r w:rsidR="006345FA">
        <w:t xml:space="preserve"> (Vande Moortele 2013, Horton 2015)</w:t>
      </w:r>
      <w:r w:rsidRPr="00322379">
        <w:t>.</w:t>
      </w:r>
    </w:p>
    <w:p w14:paraId="721A8286" w14:textId="0682A2F2" w:rsidR="0081569B" w:rsidRPr="00322379" w:rsidRDefault="0081569B" w:rsidP="00847D41"/>
    <w:p w14:paraId="699A98B5" w14:textId="7CBFB5CB" w:rsidR="00E656AE" w:rsidRDefault="0081569B" w:rsidP="008D0880">
      <w:r w:rsidRPr="00322379">
        <w:t xml:space="preserve">First, a brief overview of the prelude’s form is in order. </w:t>
      </w:r>
      <w:r w:rsidR="00C00419">
        <w:t>T</w:t>
      </w:r>
      <w:r w:rsidR="00614274">
        <w:t>he prelude is cast in</w:t>
      </w:r>
      <w:r w:rsidRPr="00322379">
        <w:t xml:space="preserve"> ternary form</w:t>
      </w:r>
      <w:r w:rsidR="00614274">
        <w:t>,</w:t>
      </w:r>
      <w:r w:rsidRPr="00322379">
        <w:t xml:space="preserve"> or ABA</w:t>
      </w:r>
      <w:r w:rsidR="00614274">
        <w:t>′</w:t>
      </w:r>
      <w:r w:rsidRPr="00322379">
        <w:t xml:space="preserve">, where the large-scale A section is itself </w:t>
      </w:r>
      <w:r w:rsidR="009278FE">
        <w:t>in</w:t>
      </w:r>
      <w:r w:rsidR="009278FE" w:rsidRPr="00322379">
        <w:t xml:space="preserve"> </w:t>
      </w:r>
      <w:r w:rsidRPr="00322379">
        <w:t xml:space="preserve">small ternary </w:t>
      </w:r>
      <w:r w:rsidR="00614274">
        <w:t>(</w:t>
      </w:r>
      <w:r w:rsidR="00614274" w:rsidRPr="009278FE">
        <w:rPr>
          <w:i/>
          <w:iCs/>
        </w:rPr>
        <w:t>aba′</w:t>
      </w:r>
      <w:r w:rsidR="00614274">
        <w:t xml:space="preserve">) </w:t>
      </w:r>
      <w:r w:rsidRPr="00322379">
        <w:t>with a truncated recapitulation</w:t>
      </w:r>
      <w:r w:rsidR="00802463">
        <w:t xml:space="preserve"> (</w:t>
      </w:r>
      <w:r w:rsidR="00802463" w:rsidRPr="00802463">
        <w:rPr>
          <w:b/>
          <w:bCs/>
          <w:u w:val="single"/>
        </w:rPr>
        <w:t>Example 2</w:t>
      </w:r>
      <w:r w:rsidR="00802463">
        <w:t>)</w:t>
      </w:r>
      <w:r w:rsidRPr="00322379">
        <w:t xml:space="preserve">. Henceforth, I will refer to the different levels of form as A and B at the large scale and </w:t>
      </w:r>
      <w:r w:rsidRPr="009278FE">
        <w:rPr>
          <w:i/>
          <w:iCs/>
        </w:rPr>
        <w:t>a</w:t>
      </w:r>
      <w:r w:rsidRPr="00322379">
        <w:t xml:space="preserve"> and </w:t>
      </w:r>
      <w:r w:rsidRPr="009278FE">
        <w:rPr>
          <w:i/>
          <w:iCs/>
        </w:rPr>
        <w:t>b</w:t>
      </w:r>
      <w:r w:rsidRPr="00322379">
        <w:t xml:space="preserve"> at the small scale.</w:t>
      </w:r>
    </w:p>
    <w:p w14:paraId="1808993F" w14:textId="77777777" w:rsidR="001134EE" w:rsidRDefault="001134EE" w:rsidP="008D0880"/>
    <w:p w14:paraId="1CB6D97E" w14:textId="06691801" w:rsidR="001134EE" w:rsidRPr="001134EE" w:rsidRDefault="001134EE" w:rsidP="008D0880">
      <w:r>
        <w:rPr>
          <w:b/>
          <w:bCs/>
        </w:rPr>
        <w:t>Example 2</w:t>
      </w:r>
      <w:r>
        <w:t xml:space="preserve"> Sergei Rachmaninoff, Prelude in G Minor, op. </w:t>
      </w:r>
      <w:r w:rsidR="00CF0E43">
        <w:t>23, no. 5, formal diagram.</w:t>
      </w:r>
    </w:p>
    <w:p w14:paraId="5A38255A" w14:textId="77777777" w:rsidR="008D0880" w:rsidRPr="00322379" w:rsidRDefault="008D0880" w:rsidP="008D0880">
      <w:pPr>
        <w:rPr>
          <w:rFonts w:ascii="Garamond" w:eastAsia="Calibri" w:hAnsi="Garamond"/>
        </w:rPr>
      </w:pPr>
    </w:p>
    <w:p w14:paraId="3EBD68E4" w14:textId="312CAB22" w:rsidR="0081569B" w:rsidRDefault="0081569B" w:rsidP="00F73512">
      <w:r w:rsidRPr="00322379">
        <w:t xml:space="preserve">The two anomalous 2/4 measures are confined to the </w:t>
      </w:r>
      <w:r w:rsidRPr="00F73512">
        <w:rPr>
          <w:i/>
          <w:iCs/>
        </w:rPr>
        <w:t>a</w:t>
      </w:r>
      <w:r w:rsidRPr="00322379">
        <w:t xml:space="preserve"> section, on which I will now focus. As a first step, </w:t>
      </w:r>
      <w:r w:rsidR="00E54AF4">
        <w:t>I want to discern</w:t>
      </w:r>
      <w:r w:rsidRPr="00322379">
        <w:t xml:space="preserve"> the length of the perceived measure. The very fact that a 2/4 bar occurs </w:t>
      </w:r>
      <w:r w:rsidR="00915CE1">
        <w:t>within</w:t>
      </w:r>
      <w:r w:rsidRPr="00322379">
        <w:t xml:space="preserve"> a 4/4 piece suggests that the half</w:t>
      </w:r>
      <w:r w:rsidR="00794A60">
        <w:t xml:space="preserve"> </w:t>
      </w:r>
      <w:r w:rsidRPr="00322379">
        <w:t>note might be the dominant metrical unit in the A and A</w:t>
      </w:r>
      <w:r w:rsidR="00E54AF4">
        <w:t>′</w:t>
      </w:r>
      <w:r w:rsidRPr="00322379">
        <w:t xml:space="preserve"> sections, which therefore could </w:t>
      </w:r>
      <w:r w:rsidR="00F57DE7">
        <w:t xml:space="preserve">have </w:t>
      </w:r>
      <w:r w:rsidRPr="00322379">
        <w:t>be</w:t>
      </w:r>
      <w:r w:rsidR="00F57DE7">
        <w:t>en</w:t>
      </w:r>
      <w:r w:rsidRPr="00322379">
        <w:t xml:space="preserve"> notated in 2/4 throughout. This hearing is confirmed in the notated mm. 3–4, where the repeated rhythmic motive sixteenth–sixteenth–dotted</w:t>
      </w:r>
      <w:r w:rsidR="008F06EF">
        <w:t xml:space="preserve"> </w:t>
      </w:r>
      <w:r w:rsidRPr="00322379">
        <w:t xml:space="preserve">quarter takes exactly one half-note. In other words, the real measure equals </w:t>
      </w:r>
      <w:r w:rsidR="00E91680">
        <w:t>one-</w:t>
      </w:r>
      <w:r w:rsidR="00BF4A89" w:rsidRPr="00322379">
        <w:t>half of the</w:t>
      </w:r>
      <w:r w:rsidRPr="00322379">
        <w:t xml:space="preserve"> notated measure</w:t>
      </w:r>
      <w:r w:rsidR="00946E32">
        <w:t>:</w:t>
      </w:r>
      <w:r w:rsidRPr="00322379">
        <w:t xml:space="preserve"> R = ½N </w:t>
      </w:r>
      <w:r w:rsidR="00946E32">
        <w:t>(</w:t>
      </w:r>
      <w:r w:rsidRPr="00322379">
        <w:t xml:space="preserve">Caplin 2013, 63–64). This suggests the eighteenth-century notion of compound measure (Grave 1985), where the notated measure represents two perceived measures. While I do not insist that R = ½N </w:t>
      </w:r>
      <w:r w:rsidR="00E515FA">
        <w:t>represents</w:t>
      </w:r>
      <w:r w:rsidR="00E515FA" w:rsidRPr="00322379">
        <w:t xml:space="preserve"> </w:t>
      </w:r>
      <w:r w:rsidRPr="00322379">
        <w:t xml:space="preserve">the “right” </w:t>
      </w:r>
      <w:r w:rsidR="00AF1258">
        <w:t>hearing</w:t>
      </w:r>
      <w:r w:rsidRPr="00322379">
        <w:t>, I do encourage the reader to focus on the half</w:t>
      </w:r>
      <w:r w:rsidR="008060F4">
        <w:t xml:space="preserve"> </w:t>
      </w:r>
      <w:r w:rsidRPr="00322379">
        <w:t xml:space="preserve">note as a basic metrical </w:t>
      </w:r>
      <w:r w:rsidR="003240E5" w:rsidRPr="00322379">
        <w:t>beat</w:t>
      </w:r>
      <w:r w:rsidRPr="00322379">
        <w:t>.</w:t>
      </w:r>
    </w:p>
    <w:p w14:paraId="286CCE76" w14:textId="77777777" w:rsidR="007D054F" w:rsidRPr="00322379" w:rsidRDefault="007D054F" w:rsidP="00F73512"/>
    <w:p w14:paraId="2451E4D1" w14:textId="1AD5342E" w:rsidR="0081569B" w:rsidRDefault="0081569B" w:rsidP="007D054F">
      <w:r w:rsidRPr="00322379">
        <w:t xml:space="preserve">With the basic half-note beat in mind, I turn to phrase structure and form. The two anomalous 2/4 measures signify an uneven number of half-note beats. </w:t>
      </w:r>
      <w:r w:rsidR="00B455EC">
        <w:t>This, in turn,</w:t>
      </w:r>
      <w:r w:rsidRPr="00322379">
        <w:rPr>
          <w:i/>
          <w:iCs/>
        </w:rPr>
        <w:t xml:space="preserve"> </w:t>
      </w:r>
      <w:r w:rsidR="00544B75">
        <w:t>suggests</w:t>
      </w:r>
      <w:r w:rsidRPr="00322379">
        <w:t xml:space="preserve"> two </w:t>
      </w:r>
      <w:r w:rsidR="00544B75">
        <w:t>possibilities</w:t>
      </w:r>
      <w:r w:rsidRPr="00322379">
        <w:t xml:space="preserve">: either some phrases are inherently asymmetrical, or symmetrical phrases have been </w:t>
      </w:r>
      <w:r w:rsidRPr="00322379">
        <w:lastRenderedPageBreak/>
        <w:t>shifted with respect to an underlying regularity. The former option is not uncommon in Rachmaninoff</w:t>
      </w:r>
      <w:r w:rsidR="00387DCC">
        <w:t xml:space="preserve">: </w:t>
      </w:r>
      <w:r w:rsidRPr="00322379">
        <w:t xml:space="preserve">examples of his most asymmetrical phrases and </w:t>
      </w:r>
      <w:r w:rsidR="00387DCC">
        <w:t xml:space="preserve">most </w:t>
      </w:r>
      <w:r w:rsidRPr="00322379">
        <w:t>unpredictabl</w:t>
      </w:r>
      <w:r w:rsidR="00387DCC">
        <w:t>e time-</w:t>
      </w:r>
      <w:r w:rsidRPr="00322379">
        <w:t xml:space="preserve">signature </w:t>
      </w:r>
      <w:r w:rsidR="00387DCC">
        <w:t xml:space="preserve">changes </w:t>
      </w:r>
      <w:r w:rsidRPr="00322379">
        <w:t>come in pieces that stylistically reference Russian folk or church music.</w:t>
      </w:r>
      <w:r w:rsidR="003240E5" w:rsidRPr="006D37DA">
        <w:rPr>
          <w:rStyle w:val="FootnoteReference"/>
        </w:rPr>
        <w:footnoteReference w:id="5"/>
      </w:r>
      <w:r w:rsidRPr="00322379">
        <w:t xml:space="preserve"> But the G-minor prelude’s march topic (</w:t>
      </w:r>
      <w:r w:rsidR="006A176C">
        <w:t>indexed by</w:t>
      </w:r>
      <w:r w:rsidR="006A176C" w:rsidRPr="00322379">
        <w:t xml:space="preserve"> </w:t>
      </w:r>
      <w:r w:rsidRPr="00322379">
        <w:t xml:space="preserve">the </w:t>
      </w:r>
      <w:r w:rsidRPr="00322379">
        <w:rPr>
          <w:i/>
          <w:iCs/>
        </w:rPr>
        <w:t>alla marcia</w:t>
      </w:r>
      <w:r w:rsidRPr="00322379">
        <w:t xml:space="preserve"> marking) </w:t>
      </w:r>
      <w:r w:rsidR="00482CFF">
        <w:t xml:space="preserve">and </w:t>
      </w:r>
      <w:r w:rsidRPr="00322379">
        <w:t>rhythmically repetitive character suggest the second possibility—that the piece might have an underlying symmetrical structure.</w:t>
      </w:r>
      <w:r w:rsidR="005D2FB7">
        <w:rPr>
          <w:rStyle w:val="FootnoteReference"/>
        </w:rPr>
        <w:footnoteReference w:id="6"/>
      </w:r>
      <w:r w:rsidRPr="00322379">
        <w:t xml:space="preserve"> </w:t>
      </w:r>
      <w:r w:rsidR="00937777">
        <w:t xml:space="preserve">To pursue this </w:t>
      </w:r>
      <w:r w:rsidRPr="00322379">
        <w:t>idea</w:t>
      </w:r>
      <w:r w:rsidR="00937777">
        <w:t>,</w:t>
      </w:r>
      <w:r w:rsidR="00937777" w:rsidRPr="00322379">
        <w:t xml:space="preserve"> </w:t>
      </w:r>
      <w:r w:rsidRPr="00322379">
        <w:t xml:space="preserve">we </w:t>
      </w:r>
      <w:r w:rsidR="00F8661A">
        <w:t xml:space="preserve">first </w:t>
      </w:r>
      <w:r w:rsidRPr="00322379">
        <w:t xml:space="preserve">need to </w:t>
      </w:r>
      <w:r w:rsidR="00F8661A">
        <w:t xml:space="preserve">determine </w:t>
      </w:r>
      <w:r w:rsidRPr="00322379">
        <w:t>the phrase</w:t>
      </w:r>
      <w:r w:rsidR="00E2296E" w:rsidRPr="00322379">
        <w:t xml:space="preserve"> structure</w:t>
      </w:r>
      <w:r w:rsidRPr="00322379">
        <w:t xml:space="preserve"> </w:t>
      </w:r>
      <w:r w:rsidR="00F8661A">
        <w:t>of</w:t>
      </w:r>
      <w:r w:rsidR="00F8661A" w:rsidRPr="00322379">
        <w:t xml:space="preserve"> </w:t>
      </w:r>
      <w:r w:rsidRPr="00322379">
        <w:t>the opening sixteen measures</w:t>
      </w:r>
      <w:r w:rsidR="00F8661A">
        <w:t>.</w:t>
      </w:r>
      <w:r w:rsidR="00F8661A" w:rsidRPr="00322379">
        <w:t xml:space="preserve"> </w:t>
      </w:r>
      <w:r w:rsidR="00E520CD">
        <w:t xml:space="preserve">The </w:t>
      </w:r>
      <w:r w:rsidRPr="00322379">
        <w:t>overall form is clearly a period</w:t>
      </w:r>
      <w:r w:rsidR="00BB6F70">
        <w:t>:</w:t>
      </w:r>
      <w:r w:rsidRPr="00322379">
        <w:t xml:space="preserve"> antecedent </w:t>
      </w:r>
      <w:r w:rsidR="00BB6F70">
        <w:t xml:space="preserve">in </w:t>
      </w:r>
      <w:r w:rsidRPr="00322379">
        <w:t xml:space="preserve">mm. 1–9 (HC) and consequent </w:t>
      </w:r>
      <w:r w:rsidR="00BB6F70">
        <w:t xml:space="preserve">in </w:t>
      </w:r>
      <w:r w:rsidRPr="00322379">
        <w:t>mm. 10–16 (PAC)</w:t>
      </w:r>
      <w:r w:rsidR="00E0423F" w:rsidRPr="00322379">
        <w:t>.</w:t>
      </w:r>
      <w:r w:rsidR="00E0423F" w:rsidRPr="00E8770D">
        <w:rPr>
          <w:rStyle w:val="FootnoteReference"/>
        </w:rPr>
        <w:footnoteReference w:id="7"/>
      </w:r>
      <w:r w:rsidR="00E0423F" w:rsidRPr="00322379">
        <w:t xml:space="preserve"> B</w:t>
      </w:r>
      <w:r w:rsidRPr="00322379">
        <w:t>ut how are the antecedent and the consequent organized</w:t>
      </w:r>
      <w:r w:rsidR="00C8607E" w:rsidRPr="00322379">
        <w:t xml:space="preserve"> internally</w:t>
      </w:r>
      <w:r w:rsidRPr="00322379">
        <w:t>?</w:t>
      </w:r>
    </w:p>
    <w:p w14:paraId="3749BFF8" w14:textId="77777777" w:rsidR="00FC09CB" w:rsidRPr="00322379" w:rsidRDefault="00FC09CB" w:rsidP="007D054F"/>
    <w:p w14:paraId="19190EDA" w14:textId="22B26DD0" w:rsidR="0081569B" w:rsidRDefault="0081569B" w:rsidP="00FC09CB">
      <w:r w:rsidRPr="00322379">
        <w:lastRenderedPageBreak/>
        <w:t xml:space="preserve">The question yields no automatic answer, and the reason </w:t>
      </w:r>
      <w:r w:rsidR="00330BC3">
        <w:t xml:space="preserve">for this </w:t>
      </w:r>
      <w:r w:rsidRPr="00322379">
        <w:t xml:space="preserve">lies in the curious lack of melodic material per se. This becomes clear if one attempts to sing the beginning: it is not easy to understand which </w:t>
      </w:r>
      <w:r w:rsidRPr="00322379">
        <w:rPr>
          <w:i/>
          <w:iCs/>
        </w:rPr>
        <w:t>melodic</w:t>
      </w:r>
      <w:r w:rsidRPr="00322379">
        <w:t xml:space="preserve"> idea defines the prelude</w:t>
      </w:r>
      <w:r w:rsidR="00330BC3">
        <w:t xml:space="preserve">. It is, however, </w:t>
      </w:r>
      <w:r w:rsidRPr="00322379">
        <w:t xml:space="preserve">very clear which </w:t>
      </w:r>
      <w:r w:rsidRPr="00322379">
        <w:rPr>
          <w:i/>
          <w:iCs/>
        </w:rPr>
        <w:t>textural</w:t>
      </w:r>
      <w:r w:rsidRPr="00322379">
        <w:t xml:space="preserve"> and </w:t>
      </w:r>
      <w:r w:rsidRPr="00322379">
        <w:rPr>
          <w:i/>
          <w:iCs/>
        </w:rPr>
        <w:t>rhythmic</w:t>
      </w:r>
      <w:r w:rsidRPr="00322379">
        <w:t xml:space="preserve"> patterns define it: the low arpeggiated bass segment and the mid-register chords with two sixteenths and an eighth. And yet, to analyze form, one needs to decide on the local form-functional beginning</w:t>
      </w:r>
      <w:r w:rsidR="00C8607E" w:rsidRPr="00322379">
        <w:t>—that is, the basic idea</w:t>
      </w:r>
      <w:r w:rsidRPr="00322379">
        <w:t xml:space="preserve"> (and this </w:t>
      </w:r>
      <w:r w:rsidR="00486E21">
        <w:t xml:space="preserve">decision </w:t>
      </w:r>
      <w:r w:rsidR="001D6CF9">
        <w:t xml:space="preserve">impacts </w:t>
      </w:r>
      <w:r w:rsidR="006747C4">
        <w:t>performance</w:t>
      </w:r>
      <w:r w:rsidR="001D6CF9">
        <w:t xml:space="preserve"> </w:t>
      </w:r>
      <w:r w:rsidRPr="00322379">
        <w:t xml:space="preserve">as </w:t>
      </w:r>
      <w:r w:rsidR="001D6CF9">
        <w:t xml:space="preserve">much as </w:t>
      </w:r>
      <w:r w:rsidR="006747C4">
        <w:t>analysis</w:t>
      </w:r>
      <w:r w:rsidRPr="00322379">
        <w:t>). There are two options: the basic idea enters either in m. 1 (</w:t>
      </w:r>
      <w:r w:rsidR="00BC27A9">
        <w:t xml:space="preserve">with the </w:t>
      </w:r>
      <w:r w:rsidRPr="00322379">
        <w:t>melodic line in the lowest register) or in the middle of m. 3 (</w:t>
      </w:r>
      <w:r w:rsidR="00BC27A9">
        <w:t xml:space="preserve">with the </w:t>
      </w:r>
      <w:r w:rsidRPr="00322379">
        <w:t xml:space="preserve">melodic line </w:t>
      </w:r>
      <w:r w:rsidR="00B339D5" w:rsidRPr="00322379">
        <w:t>D</w:t>
      </w:r>
      <w:r w:rsidR="00330BC3">
        <w:t>–</w:t>
      </w:r>
      <w:r w:rsidR="00B339D5" w:rsidRPr="00322379">
        <w:t>F</w:t>
      </w:r>
      <w:r w:rsidR="00330BC3">
        <w:t>–</w:t>
      </w:r>
      <w:r w:rsidR="00B339D5" w:rsidRPr="00322379">
        <w:t xml:space="preserve">G </w:t>
      </w:r>
      <w:r w:rsidRPr="00322379">
        <w:t xml:space="preserve">in the middle register). I choose the latter option, </w:t>
      </w:r>
      <w:r w:rsidR="00B339D5" w:rsidRPr="00322379">
        <w:t>thus</w:t>
      </w:r>
      <w:r w:rsidRPr="00322379">
        <w:t xml:space="preserve"> render</w:t>
      </w:r>
      <w:r w:rsidR="00B339D5" w:rsidRPr="00322379">
        <w:t>ing</w:t>
      </w:r>
      <w:r w:rsidRPr="00322379">
        <w:t xml:space="preserve"> the preceding music a local introduction.</w:t>
      </w:r>
      <w:r w:rsidR="00CD571A">
        <w:rPr>
          <w:rStyle w:val="FootnoteReference"/>
        </w:rPr>
        <w:footnoteReference w:id="8"/>
      </w:r>
    </w:p>
    <w:p w14:paraId="3EDC8784" w14:textId="77777777" w:rsidR="002E3443" w:rsidRPr="00322379" w:rsidRDefault="002E3443" w:rsidP="00FC09CB"/>
    <w:p w14:paraId="241FD0C2" w14:textId="38ECE06C" w:rsidR="00E656AE" w:rsidRDefault="0081569B" w:rsidP="00E2075F">
      <w:r w:rsidRPr="00322379">
        <w:t xml:space="preserve">Since my overall argument depends on the form of this section, the relative advantages of the two readings deserve closer attention. The advantages of </w:t>
      </w:r>
      <w:r w:rsidR="006B73AB">
        <w:t xml:space="preserve">locating </w:t>
      </w:r>
      <w:r w:rsidRPr="00322379">
        <w:t xml:space="preserve">the </w:t>
      </w:r>
      <w:r w:rsidR="006B73AB">
        <w:t>basic idea</w:t>
      </w:r>
      <w:r w:rsidRPr="00322379">
        <w:t xml:space="preserve"> in m. 3 include phrase-rhythmic symmetry and form-functional efficiency of </w:t>
      </w:r>
      <w:r w:rsidR="006B73AB">
        <w:t xml:space="preserve">the </w:t>
      </w:r>
      <w:r w:rsidR="006B73AB" w:rsidRPr="00E02511">
        <w:rPr>
          <w:i/>
          <w:iCs/>
        </w:rPr>
        <w:t>a</w:t>
      </w:r>
      <w:r w:rsidR="006B73AB">
        <w:t xml:space="preserve"> </w:t>
      </w:r>
      <w:r w:rsidRPr="00322379">
        <w:t>section, the line’s relative “singability,” the register, and the presence of an actual harmonic progression, I–</w:t>
      </w:r>
      <w:r w:rsidR="001F409E">
        <w:t>P</w:t>
      </w:r>
      <w:r w:rsidRPr="00C83E50">
        <w:t>6/4</w:t>
      </w:r>
      <w:r w:rsidRPr="00322379">
        <w:t>–</w:t>
      </w:r>
      <w:r w:rsidR="00BE4074" w:rsidRPr="00322379">
        <w:t>ii</w:t>
      </w:r>
      <w:r w:rsidR="00981182" w:rsidRPr="00C83E50">
        <w:rPr>
          <w:rFonts w:eastAsia="Aptos"/>
          <w:vertAlign w:val="superscript"/>
          <w14:ligatures w14:val="standardContextual"/>
        </w:rPr>
        <w:t>ø</w:t>
      </w:r>
      <w:r w:rsidR="00BE4074" w:rsidRPr="00C83E50">
        <w:t>4/3</w:t>
      </w:r>
      <w:r w:rsidRPr="00322379">
        <w:t>–V with striking outer-voice counterpoint (</w:t>
      </w:r>
      <w:r w:rsidRPr="00196D9C">
        <w:rPr>
          <w:b/>
          <w:bCs/>
          <w:u w:val="single"/>
        </w:rPr>
        <w:t xml:space="preserve">Example </w:t>
      </w:r>
      <w:r w:rsidR="00BC46BD" w:rsidRPr="00196D9C">
        <w:rPr>
          <w:b/>
          <w:bCs/>
          <w:u w:val="single"/>
        </w:rPr>
        <w:t>3</w:t>
      </w:r>
      <w:r w:rsidR="00196D9C" w:rsidRPr="00897584">
        <w:rPr>
          <w:b/>
          <w:bCs/>
          <w:u w:val="single"/>
        </w:rPr>
        <w:t>a</w:t>
      </w:r>
      <w:r w:rsidR="00196D9C">
        <w:t>, mm. 6–9</w:t>
      </w:r>
      <w:r w:rsidRPr="00322379">
        <w:t xml:space="preserve">). </w:t>
      </w:r>
      <w:r w:rsidR="002E229B">
        <w:t>(The passing 6/4 suggests a we</w:t>
      </w:r>
      <w:r w:rsidR="00C72CB3">
        <w:t>a</w:t>
      </w:r>
      <w:r w:rsidR="002E229B">
        <w:t>k beat</w:t>
      </w:r>
      <w:r w:rsidR="00EF07A4">
        <w:t>, supporting the beginning-accented hearing of the antecedent.)</w:t>
      </w:r>
      <w:r w:rsidR="00897584">
        <w:t xml:space="preserve"> </w:t>
      </w:r>
      <w:r w:rsidRPr="00322379">
        <w:t>The alternative reading—</w:t>
      </w:r>
      <w:r w:rsidR="006B73AB">
        <w:t xml:space="preserve">with the </w:t>
      </w:r>
      <w:r w:rsidRPr="00322379">
        <w:t>basic idea in m. 1—suggests a local sentence: basic idea in m. 1, its repetition in m. 2, and fragmentation in</w:t>
      </w:r>
      <w:r w:rsidR="00DC69A9" w:rsidRPr="00322379">
        <w:t xml:space="preserve"> mm. 3–4</w:t>
      </w:r>
      <w:r w:rsidRPr="00322379">
        <w:t xml:space="preserve">. This sentential reading supports the R = ½N idea, since the succession of </w:t>
      </w:r>
      <w:r w:rsidR="001F4F13" w:rsidRPr="00322379">
        <w:t xml:space="preserve">“real” </w:t>
      </w:r>
      <w:r w:rsidRPr="00322379">
        <w:t>half-note</w:t>
      </w:r>
      <w:r w:rsidR="001F4F13" w:rsidRPr="00322379">
        <w:t xml:space="preserve"> </w:t>
      </w:r>
      <w:r w:rsidRPr="00322379">
        <w:t xml:space="preserve">measures is 2+2+1+1+1+1. </w:t>
      </w:r>
      <w:r w:rsidR="00B339D5" w:rsidRPr="00322379">
        <w:t>The</w:t>
      </w:r>
      <w:r w:rsidRPr="00322379">
        <w:t xml:space="preserve"> </w:t>
      </w:r>
      <w:r w:rsidRPr="00C83E50">
        <w:t>dis</w:t>
      </w:r>
      <w:r w:rsidRPr="00322379">
        <w:t xml:space="preserve">advantage is primarily form-functional: while the sentence works internally, the following music is harder to explain, </w:t>
      </w:r>
      <w:r w:rsidRPr="00322379">
        <w:lastRenderedPageBreak/>
        <w:t>especially mm. 5–9.</w:t>
      </w:r>
      <w:r w:rsidR="006F3FDA" w:rsidRPr="00185594">
        <w:rPr>
          <w:rStyle w:val="FootnoteReference"/>
        </w:rPr>
        <w:footnoteReference w:id="9"/>
      </w:r>
      <w:r w:rsidRPr="00322379">
        <w:t xml:space="preserve"> Moreover, </w:t>
      </w:r>
      <w:r w:rsidR="001F4F13" w:rsidRPr="00322379">
        <w:t xml:space="preserve">in this version </w:t>
      </w:r>
      <w:r w:rsidRPr="00322379">
        <w:t>both statements of the b</w:t>
      </w:r>
      <w:r w:rsidR="006B73AB">
        <w:t>asic idea</w:t>
      </w:r>
      <w:r w:rsidRPr="00322379">
        <w:t xml:space="preserve"> </w:t>
      </w:r>
      <w:r w:rsidR="001F4F13" w:rsidRPr="00322379">
        <w:t>would be</w:t>
      </w:r>
      <w:r w:rsidRPr="00322379">
        <w:t xml:space="preserve"> harmonically static, which is not typical for Classical or Romantic sentences.</w:t>
      </w:r>
      <w:r w:rsidR="006B73AB" w:rsidRPr="00FF2D5E">
        <w:rPr>
          <w:rStyle w:val="FootnoteReference"/>
        </w:rPr>
        <w:footnoteReference w:id="10"/>
      </w:r>
    </w:p>
    <w:p w14:paraId="4A69C15A" w14:textId="77777777" w:rsidR="009F4EB8" w:rsidRDefault="009F4EB8" w:rsidP="00E2075F"/>
    <w:p w14:paraId="68348536" w14:textId="1F8A6AA4" w:rsidR="009F4EB8" w:rsidRPr="00E80B0F" w:rsidRDefault="009F4EB8" w:rsidP="00E2075F">
      <w:r>
        <w:rPr>
          <w:b/>
          <w:bCs/>
        </w:rPr>
        <w:t>Example 3</w:t>
      </w:r>
      <w:r>
        <w:t xml:space="preserve"> Sergei Rachmaninoff, Prelude in G Minor, op. 23, no. 5</w:t>
      </w:r>
      <w:r w:rsidR="00417EE4">
        <w:t xml:space="preserve">, section </w:t>
      </w:r>
      <w:r w:rsidR="00417EE4">
        <w:rPr>
          <w:i/>
          <w:iCs/>
        </w:rPr>
        <w:t>a</w:t>
      </w:r>
      <w:r w:rsidR="00417EE4">
        <w:t>.</w:t>
      </w:r>
      <w:r w:rsidR="00EF0BA0">
        <w:t xml:space="preserve"> (a) </w:t>
      </w:r>
      <w:r w:rsidR="00417EE4">
        <w:t>R</w:t>
      </w:r>
      <w:r w:rsidR="00EF0BA0">
        <w:t>enotat</w:t>
      </w:r>
      <w:r w:rsidR="00417EE4">
        <w:t>ion</w:t>
      </w:r>
      <w:r w:rsidR="00EF0BA0">
        <w:t xml:space="preserve"> in 2/4.</w:t>
      </w:r>
      <w:r w:rsidR="00E80B0F">
        <w:t xml:space="preserve"> (b) </w:t>
      </w:r>
      <w:r w:rsidR="00417EE4">
        <w:t>F</w:t>
      </w:r>
      <w:r w:rsidR="00E80B0F">
        <w:t>ormal diagram.</w:t>
      </w:r>
    </w:p>
    <w:p w14:paraId="61E1D5B6" w14:textId="77777777" w:rsidR="00E2075F" w:rsidRPr="00322379" w:rsidRDefault="00E2075F" w:rsidP="00E2075F">
      <w:pPr>
        <w:rPr>
          <w:rFonts w:ascii="Garamond" w:eastAsia="Calibri" w:hAnsi="Garamond"/>
        </w:rPr>
      </w:pPr>
    </w:p>
    <w:p w14:paraId="1252E045" w14:textId="69CA05AE" w:rsidR="0081569B" w:rsidRDefault="0081569B" w:rsidP="00B00961">
      <w:r w:rsidRPr="00322379">
        <w:t>The choice to hear the basic idea</w:t>
      </w:r>
      <w:r w:rsidR="00B339D5" w:rsidRPr="00322379">
        <w:t xml:space="preserve"> in m. 3</w:t>
      </w:r>
      <w:r w:rsidRPr="00322379">
        <w:t xml:space="preserve"> allows for a distinction between two types of material</w:t>
      </w:r>
      <w:r w:rsidR="00C7380E">
        <w:t xml:space="preserve">: </w:t>
      </w:r>
      <w:r w:rsidRPr="00322379">
        <w:t xml:space="preserve">melodic, which begins </w:t>
      </w:r>
      <w:r w:rsidR="00B339D5" w:rsidRPr="00322379">
        <w:t>with the D</w:t>
      </w:r>
      <w:r w:rsidR="00911C90">
        <w:t>–</w:t>
      </w:r>
      <w:r w:rsidR="00B339D5" w:rsidRPr="00322379">
        <w:t>F</w:t>
      </w:r>
      <w:r w:rsidR="00911C90">
        <w:t>–</w:t>
      </w:r>
      <w:r w:rsidR="00B339D5" w:rsidRPr="00322379">
        <w:t>G line</w:t>
      </w:r>
      <w:r w:rsidRPr="00322379">
        <w:t xml:space="preserve">, and accompanimental, which may be called </w:t>
      </w:r>
      <w:r w:rsidRPr="00322379">
        <w:rPr>
          <w:i/>
        </w:rPr>
        <w:t>framing material</w:t>
      </w:r>
      <w:r w:rsidRPr="00322379">
        <w:t xml:space="preserve">, to adapt Caplin’s “framing function.” One might also </w:t>
      </w:r>
      <w:r w:rsidR="00B339D5" w:rsidRPr="00322379">
        <w:t xml:space="preserve">think </w:t>
      </w:r>
      <w:r w:rsidR="00A8047B">
        <w:t xml:space="preserve">in terms of </w:t>
      </w:r>
      <w:r w:rsidRPr="00322379">
        <w:t>thematic and non-thematic, or essential and non-essential</w:t>
      </w:r>
      <w:r w:rsidR="00A8047B">
        <w:t xml:space="preserve"> material</w:t>
      </w:r>
      <w:r w:rsidRPr="00322379">
        <w:t>.</w:t>
      </w:r>
      <w:r w:rsidR="0064068A" w:rsidRPr="00A8047B">
        <w:rPr>
          <w:rStyle w:val="FootnoteReference"/>
        </w:rPr>
        <w:footnoteReference w:id="11"/>
      </w:r>
      <w:r w:rsidRPr="00322379">
        <w:t xml:space="preserve"> The thematic material forms four symmetrical phrases</w:t>
      </w:r>
      <w:r w:rsidR="001657E9">
        <w:t>,</w:t>
      </w:r>
      <w:r w:rsidRPr="00322379">
        <w:t xml:space="preserve"> marked </w:t>
      </w:r>
      <w:r w:rsidR="001657E9">
        <w:t xml:space="preserve">with brackets </w:t>
      </w:r>
      <w:r w:rsidRPr="00322379">
        <w:t xml:space="preserve">in Example 1, </w:t>
      </w:r>
      <w:r w:rsidR="00FE52E3">
        <w:t>each of which has a</w:t>
      </w:r>
      <w:r w:rsidR="00FE52E3" w:rsidRPr="00322379">
        <w:t xml:space="preserve"> </w:t>
      </w:r>
      <w:r w:rsidRPr="00322379">
        <w:t xml:space="preserve">structure </w:t>
      </w:r>
      <w:r w:rsidR="00FE52E3">
        <w:t xml:space="preserve">of </w:t>
      </w:r>
      <w:r w:rsidRPr="00322379">
        <w:t>4+4+4+4 half</w:t>
      </w:r>
      <w:r w:rsidR="00FE52E3">
        <w:t xml:space="preserve"> </w:t>
      </w:r>
      <w:r w:rsidRPr="00322379">
        <w:t xml:space="preserve">notes. </w:t>
      </w:r>
      <w:r w:rsidR="009A04DF">
        <w:t>T</w:t>
      </w:r>
      <w:r w:rsidRPr="00322379">
        <w:t xml:space="preserve">his </w:t>
      </w:r>
      <w:r w:rsidR="009A04DF">
        <w:t xml:space="preserve">indicates </w:t>
      </w:r>
      <w:r w:rsidRPr="00322379">
        <w:t xml:space="preserve">the </w:t>
      </w:r>
      <w:r w:rsidR="009A04DF">
        <w:t>“</w:t>
      </w:r>
      <w:r w:rsidRPr="009A04DF">
        <w:t>basic length</w:t>
      </w:r>
      <w:r w:rsidR="009A04DF">
        <w:t>” (Rothstein [1989] 2007, 65)</w:t>
      </w:r>
      <w:r w:rsidRPr="009A04DF">
        <w:t xml:space="preserve"> </w:t>
      </w:r>
      <w:r w:rsidRPr="00322379">
        <w:t xml:space="preserve">of the </w:t>
      </w:r>
      <w:r w:rsidRPr="00A070CD">
        <w:rPr>
          <w:i/>
          <w:iCs/>
        </w:rPr>
        <w:t>a</w:t>
      </w:r>
      <w:r w:rsidRPr="00322379">
        <w:t xml:space="preserve"> section, the length to which the music can be reasonably reduced</w:t>
      </w:r>
      <w:r w:rsidR="00057F22" w:rsidRPr="00322379">
        <w:t xml:space="preserve"> and still sound coherent</w:t>
      </w:r>
      <w:r w:rsidRPr="00322379">
        <w:t xml:space="preserve">. It is also the form-functional body of section </w:t>
      </w:r>
      <w:r w:rsidRPr="000C6EDB">
        <w:rPr>
          <w:i/>
          <w:iCs/>
        </w:rPr>
        <w:t>a</w:t>
      </w:r>
      <w:r w:rsidRPr="00322379">
        <w:t>, a compound period I call the “structural period</w:t>
      </w:r>
      <w:r w:rsidR="001836E3" w:rsidRPr="00322379">
        <w:t>.</w:t>
      </w:r>
      <w:r w:rsidRPr="00322379">
        <w:t>”</w:t>
      </w:r>
      <w:r w:rsidR="001836E3" w:rsidRPr="00322379">
        <w:t xml:space="preserve"> Both </w:t>
      </w:r>
      <w:r w:rsidR="001836E3" w:rsidRPr="00322379">
        <w:lastRenderedPageBreak/>
        <w:t>antecedent and consequent represent hybrid form</w:t>
      </w:r>
      <w:r w:rsidR="002459E8">
        <w:t>s</w:t>
      </w:r>
      <w:r w:rsidR="001836E3" w:rsidRPr="00322379">
        <w:t>.</w:t>
      </w:r>
      <w:r w:rsidR="001836E3" w:rsidRPr="00621AEC">
        <w:rPr>
          <w:rStyle w:val="FootnoteReference"/>
        </w:rPr>
        <w:footnoteReference w:id="12"/>
      </w:r>
      <w:r w:rsidRPr="00322379">
        <w:t xml:space="preserve"> (One might</w:t>
      </w:r>
      <w:r w:rsidR="0064068A">
        <w:t xml:space="preserve"> </w:t>
      </w:r>
      <w:r w:rsidRPr="00322379">
        <w:t>argue for a</w:t>
      </w:r>
      <w:r w:rsidR="006A7552" w:rsidRPr="00322379">
        <w:t>n</w:t>
      </w:r>
      <w:r w:rsidRPr="00322379">
        <w:t xml:space="preserve"> </w:t>
      </w:r>
      <w:r w:rsidR="00B339D5" w:rsidRPr="00322379">
        <w:t>additional</w:t>
      </w:r>
      <w:r w:rsidRPr="00322379">
        <w:t xml:space="preserve"> HC in m. 5</w:t>
      </w:r>
      <w:r w:rsidR="002F294E">
        <w:t>,</w:t>
      </w:r>
      <w:r w:rsidR="002F294E" w:rsidRPr="00322379">
        <w:t xml:space="preserve"> </w:t>
      </w:r>
      <w:r w:rsidRPr="00322379">
        <w:t>but its cadential status is undermined by the consequent, where the corresponding point, m. 14, is decidedly non-cadential</w:t>
      </w:r>
      <w:r w:rsidR="00575623">
        <w:t>, as well as by the ascending melodic gesture, typical for initial functionality more than cadential</w:t>
      </w:r>
      <w:r w:rsidR="002F294E">
        <w:t>.</w:t>
      </w:r>
      <w:r w:rsidR="008A0B24">
        <w:rPr>
          <w:rStyle w:val="FootnoteReference"/>
        </w:rPr>
        <w:footnoteReference w:id="13"/>
      </w:r>
      <w:r w:rsidRPr="00322379">
        <w:t>)</w:t>
      </w:r>
    </w:p>
    <w:p w14:paraId="457C065F" w14:textId="77777777" w:rsidR="00C82F1A" w:rsidRPr="00322379" w:rsidRDefault="00C82F1A" w:rsidP="00B00961"/>
    <w:p w14:paraId="136AC5C5" w14:textId="0C0830F3" w:rsidR="0081569B" w:rsidRDefault="0081569B" w:rsidP="00C82F1A">
      <w:r w:rsidRPr="00322379">
        <w:t xml:space="preserve">It is this four-square construction and its </w:t>
      </w:r>
      <w:r w:rsidR="00DF2B96">
        <w:t>C</w:t>
      </w:r>
      <w:r w:rsidR="00DF2B96" w:rsidRPr="00322379">
        <w:t xml:space="preserve">lassical </w:t>
      </w:r>
      <w:r w:rsidRPr="00322379">
        <w:t xml:space="preserve">formal </w:t>
      </w:r>
      <w:r w:rsidR="00F050A1" w:rsidRPr="00322379">
        <w:t>efficiency</w:t>
      </w:r>
      <w:r w:rsidRPr="00322379">
        <w:t xml:space="preserve"> (relevant especially in light of the march topic)</w:t>
      </w:r>
      <w:r w:rsidR="0064068A">
        <w:t xml:space="preserve"> </w:t>
      </w:r>
      <w:r w:rsidRPr="00322379">
        <w:t>that ultimately disqualifie</w:t>
      </w:r>
      <w:r w:rsidR="0064068A">
        <w:t>s</w:t>
      </w:r>
      <w:r w:rsidRPr="00322379">
        <w:t xml:space="preserve"> the alternative reading</w:t>
      </w:r>
      <w:r w:rsidR="0064068A">
        <w:t xml:space="preserve"> of a</w:t>
      </w:r>
      <w:r w:rsidRPr="00322379">
        <w:t xml:space="preserve"> sentence starting in m. 1.</w:t>
      </w:r>
      <w:r w:rsidR="002216FE" w:rsidRPr="00A5499B" w:rsidDel="002216FE">
        <w:rPr>
          <w:rStyle w:val="FootnoteReference"/>
        </w:rPr>
        <w:t xml:space="preserve"> </w:t>
      </w:r>
      <w:r w:rsidR="00710760" w:rsidRPr="00322379">
        <w:t>T</w:t>
      </w:r>
      <w:r w:rsidRPr="00322379">
        <w:t>h</w:t>
      </w:r>
      <w:r w:rsidR="00710760" w:rsidRPr="00322379">
        <w:t>e symmetry of the four phrases</w:t>
      </w:r>
      <w:r w:rsidRPr="00322379">
        <w:t xml:space="preserve"> also explain</w:t>
      </w:r>
      <w:r w:rsidR="00EC78C4">
        <w:t>s</w:t>
      </w:r>
      <w:r w:rsidRPr="00322379">
        <w:t xml:space="preserve"> the anomalous 2/4 measures in terms of shifts with respect to the structural period’s underlying regularity. Example 3</w:t>
      </w:r>
      <w:r w:rsidR="00957D96">
        <w:t xml:space="preserve"> </w:t>
      </w:r>
      <w:r w:rsidRPr="00322379">
        <w:t>focuses on the interaction of the structural period and the framing material. The half</w:t>
      </w:r>
      <w:r w:rsidR="00FC053C">
        <w:t xml:space="preserve"> </w:t>
      </w:r>
      <w:r w:rsidRPr="00322379">
        <w:t xml:space="preserve">note is notated as the real measure here, so the time signature is 2/4. The insertions of framing material are asymmetrical, and they also constitute a significant departure from Classical </w:t>
      </w:r>
      <w:r w:rsidR="0001164D" w:rsidRPr="00322379">
        <w:t>n</w:t>
      </w:r>
      <w:r w:rsidR="00C42823" w:rsidRPr="00322379">
        <w:t>orms</w:t>
      </w:r>
      <w:r w:rsidRPr="00322379">
        <w:t>: five half-note</w:t>
      </w:r>
      <w:r w:rsidR="0037395B" w:rsidRPr="00322379">
        <w:t xml:space="preserve"> beats</w:t>
      </w:r>
      <w:r w:rsidRPr="00322379">
        <w:t xml:space="preserve"> in the thematic introduction</w:t>
      </w:r>
      <w:r w:rsidR="00C42823" w:rsidRPr="00322379">
        <w:t xml:space="preserve"> (formal</w:t>
      </w:r>
      <w:r w:rsidR="00606ACE">
        <w:t>ly</w:t>
      </w:r>
      <w:r w:rsidR="00C42823" w:rsidRPr="00322379">
        <w:t xml:space="preserve"> conventional)</w:t>
      </w:r>
      <w:r w:rsidRPr="00322379">
        <w:t>, another four beats interpolated between the two halves of the antecedent (a form-functional surprise</w:t>
      </w:r>
      <w:r w:rsidR="00F050A1" w:rsidRPr="00322379">
        <w:t>!</w:t>
      </w:r>
      <w:r w:rsidRPr="00322379">
        <w:t xml:space="preserve">), and another five </w:t>
      </w:r>
      <w:r w:rsidR="003A5336">
        <w:t xml:space="preserve">beats </w:t>
      </w:r>
      <w:r w:rsidRPr="00322379">
        <w:t>in an introduction to the consequent (</w:t>
      </w:r>
      <w:r w:rsidR="00C42823" w:rsidRPr="00322379">
        <w:t>an</w:t>
      </w:r>
      <w:r w:rsidRPr="00322379">
        <w:t xml:space="preserve"> </w:t>
      </w:r>
      <w:r w:rsidRPr="003A5336">
        <w:t>un</w:t>
      </w:r>
      <w:r w:rsidRPr="00322379">
        <w:t>common</w:t>
      </w:r>
      <w:r w:rsidR="00C42823" w:rsidRPr="00322379">
        <w:t xml:space="preserve"> placement</w:t>
      </w:r>
      <w:r w:rsidRPr="00322379">
        <w:t xml:space="preserve">). That makes for </w:t>
      </w:r>
      <w:r w:rsidR="00957D96">
        <w:t>fourteen</w:t>
      </w:r>
      <w:r w:rsidRPr="00322379">
        <w:t xml:space="preserve"> half</w:t>
      </w:r>
      <w:r w:rsidR="00957D96">
        <w:t xml:space="preserve"> </w:t>
      </w:r>
      <w:r w:rsidRPr="00322379">
        <w:t xml:space="preserve">notes outside of the structural period, but they are </w:t>
      </w:r>
      <w:r w:rsidRPr="00322379">
        <w:rPr>
          <w:i/>
          <w:iCs/>
        </w:rPr>
        <w:t>unevenly distributed</w:t>
      </w:r>
      <w:r w:rsidRPr="00322379">
        <w:t xml:space="preserve">. It is this uneven distribution </w:t>
      </w:r>
      <w:r w:rsidR="00F050A1" w:rsidRPr="00322379">
        <w:t xml:space="preserve">of framing material </w:t>
      </w:r>
      <w:r w:rsidR="00C42823" w:rsidRPr="00322379">
        <w:t xml:space="preserve">that </w:t>
      </w:r>
      <w:r w:rsidRPr="00322379">
        <w:t xml:space="preserve">necessitates the anomalous measures in two separate places. It is not difficult to see </w:t>
      </w:r>
      <w:r w:rsidRPr="00322379">
        <w:lastRenderedPageBreak/>
        <w:t>which beat is “extra”: the one that creates five-beat units, the fifth half</w:t>
      </w:r>
      <w:r w:rsidR="0044770B">
        <w:t xml:space="preserve"> </w:t>
      </w:r>
      <w:r w:rsidRPr="00322379">
        <w:t xml:space="preserve">note in both thematic introductions. One could </w:t>
      </w:r>
      <w:r w:rsidR="00957D96">
        <w:t>remove</w:t>
      </w:r>
      <w:r w:rsidRPr="00322379">
        <w:t xml:space="preserve"> these two beats and have a more regular </w:t>
      </w:r>
      <w:r w:rsidR="00957D96">
        <w:t>four</w:t>
      </w:r>
      <w:r w:rsidRPr="00322379">
        <w:t xml:space="preserve">-beat introduction without any harmonic discontinuity. </w:t>
      </w:r>
      <w:r w:rsidR="00204923">
        <w:t>I</w:t>
      </w:r>
      <w:r w:rsidRPr="00322379">
        <w:t xml:space="preserve">f the half-note is </w:t>
      </w:r>
      <w:r w:rsidR="00F050A1" w:rsidRPr="00322379">
        <w:t xml:space="preserve">the </w:t>
      </w:r>
      <w:r w:rsidRPr="00322379">
        <w:t xml:space="preserve">real measure, then there are, after all, extra </w:t>
      </w:r>
      <w:r w:rsidR="000725BE" w:rsidRPr="00322379">
        <w:t>“</w:t>
      </w:r>
      <w:r w:rsidRPr="00322379">
        <w:t>measures</w:t>
      </w:r>
      <w:r w:rsidR="000725BE" w:rsidRPr="00322379">
        <w:t>”</w:t>
      </w:r>
      <w:r w:rsidRPr="00322379">
        <w:t xml:space="preserve"> in this piece</w:t>
      </w:r>
      <w:r w:rsidR="00C42823" w:rsidRPr="00322379">
        <w:t>!</w:t>
      </w:r>
    </w:p>
    <w:p w14:paraId="47A33AD4" w14:textId="77777777" w:rsidR="00721D9A" w:rsidRPr="00322379" w:rsidRDefault="00721D9A" w:rsidP="00C82F1A"/>
    <w:p w14:paraId="4D823E40" w14:textId="1937E893" w:rsidR="0081569B" w:rsidRDefault="0081569B" w:rsidP="00721D9A">
      <w:r w:rsidRPr="00322379">
        <w:t>But while phrase structure determines which half</w:t>
      </w:r>
      <w:r w:rsidR="00721D9A">
        <w:t xml:space="preserve"> </w:t>
      </w:r>
      <w:r w:rsidRPr="00322379">
        <w:t>note is “extra,” only metrical analysis can determine which 4/4 measure is “too short”—in other words, at which specific point the metrical disturbance takes place</w:t>
      </w:r>
      <w:r w:rsidR="006145C3">
        <w:t>, and which beats are strong</w:t>
      </w:r>
      <w:r w:rsidRPr="00322379">
        <w:t>. So far, I have considered the music in terms of half-note beats. But what about the 4/4 time signature</w:t>
      </w:r>
      <w:r w:rsidR="00C46F3D" w:rsidRPr="00322379">
        <w:t>—</w:t>
      </w:r>
      <w:r w:rsidRPr="00322379">
        <w:t>the composer’s notational choice</w:t>
      </w:r>
      <w:r w:rsidR="00BE50F5">
        <w:t>—</w:t>
      </w:r>
      <w:r w:rsidRPr="00322379">
        <w:t>and a two-bar hypermetrical unit for those who prefer to hear the 2/4 bar as the real measure?</w:t>
      </w:r>
    </w:p>
    <w:p w14:paraId="614BFCE7" w14:textId="77777777" w:rsidR="00756308" w:rsidRPr="00322379" w:rsidRDefault="00756308" w:rsidP="00721D9A"/>
    <w:p w14:paraId="7AF8DA24" w14:textId="2818E183" w:rsidR="00E656AE" w:rsidRDefault="0081569B" w:rsidP="00797F6F">
      <w:r w:rsidRPr="00322379">
        <w:t>There are two answers depending on how one hears the structural period—as beginning-accented or end-accented.</w:t>
      </w:r>
      <w:r w:rsidR="00057F22" w:rsidRPr="00756308">
        <w:rPr>
          <w:rStyle w:val="FootnoteReference"/>
        </w:rPr>
        <w:footnoteReference w:id="14"/>
      </w:r>
      <w:r w:rsidRPr="00322379">
        <w:t xml:space="preserve"> </w:t>
      </w:r>
      <w:r w:rsidR="00C42823" w:rsidRPr="00322379">
        <w:t xml:space="preserve">Both Example 3 (2/4 time signature) and </w:t>
      </w:r>
      <w:r w:rsidR="00C42823" w:rsidRPr="00F67681">
        <w:rPr>
          <w:b/>
          <w:bCs/>
          <w:u w:val="single"/>
        </w:rPr>
        <w:t>Example 4</w:t>
      </w:r>
      <w:r w:rsidR="00C42823" w:rsidRPr="00322379">
        <w:t xml:space="preserve"> (4/4 time signature)</w:t>
      </w:r>
      <w:r w:rsidRPr="00322379">
        <w:t xml:space="preserve"> </w:t>
      </w:r>
      <w:r w:rsidR="00BB4A60" w:rsidRPr="00322379">
        <w:t>suggest a beginning-accented pattern at the level of four half</w:t>
      </w:r>
      <w:r w:rsidR="00F67681">
        <w:t xml:space="preserve"> </w:t>
      </w:r>
      <w:r w:rsidR="00BB4A60" w:rsidRPr="00322379">
        <w:t xml:space="preserve">notes. Example 4 </w:t>
      </w:r>
      <w:r w:rsidRPr="00322379">
        <w:t>rearranges the bar lines to emphasize beginning-accent within the structural period.</w:t>
      </w:r>
      <w:r w:rsidR="00DA2EA0" w:rsidRPr="00505C32">
        <w:rPr>
          <w:rStyle w:val="FootnoteReference"/>
        </w:rPr>
        <w:footnoteReference w:id="15"/>
      </w:r>
      <w:r w:rsidRPr="00322379">
        <w:t xml:space="preserve"> </w:t>
      </w:r>
      <w:r w:rsidR="00BB690B">
        <w:t>I</w:t>
      </w:r>
      <w:r w:rsidRPr="00322379">
        <w:t>n each phrase of four half</w:t>
      </w:r>
      <w:r w:rsidR="00BB690B">
        <w:t xml:space="preserve"> </w:t>
      </w:r>
      <w:r w:rsidRPr="00322379">
        <w:t>notes, the first half</w:t>
      </w:r>
      <w:r w:rsidR="00BB690B">
        <w:t xml:space="preserve"> </w:t>
      </w:r>
      <w:r w:rsidRPr="00322379">
        <w:t xml:space="preserve">note is strong and is notated as a downbeat. </w:t>
      </w:r>
      <w:r w:rsidR="003847CF">
        <w:t>T</w:t>
      </w:r>
      <w:r w:rsidRPr="00322379">
        <w:t xml:space="preserve">he energetic opening of the antecedent supports this reading. </w:t>
      </w:r>
      <w:r w:rsidR="00BB4A60" w:rsidRPr="00322379">
        <w:t>The tonic chord</w:t>
      </w:r>
      <w:r w:rsidR="00621D5C">
        <w:t>s</w:t>
      </w:r>
      <w:r w:rsidR="00BB4A60" w:rsidRPr="00322379">
        <w:t xml:space="preserve"> at the first beat of the antecedent and the </w:t>
      </w:r>
      <w:r w:rsidR="00BB4A60" w:rsidRPr="00322379">
        <w:lastRenderedPageBreak/>
        <w:t xml:space="preserve">consequent </w:t>
      </w:r>
      <w:r w:rsidR="00493201">
        <w:t xml:space="preserve">likewise </w:t>
      </w:r>
      <w:r w:rsidR="00BB4A60" w:rsidRPr="00322379">
        <w:t>suggest a</w:t>
      </w:r>
      <w:r w:rsidR="00367AB5" w:rsidRPr="00322379">
        <w:t xml:space="preserve"> beginning</w:t>
      </w:r>
      <w:r w:rsidR="00936903">
        <w:t xml:space="preserve"> </w:t>
      </w:r>
      <w:r w:rsidR="00BB4A60" w:rsidRPr="00322379">
        <w:t>accent</w:t>
      </w:r>
      <w:r w:rsidR="00367AB5" w:rsidRPr="00322379">
        <w:t xml:space="preserve"> (</w:t>
      </w:r>
      <w:r w:rsidR="00583B6E">
        <w:t xml:space="preserve">following </w:t>
      </w:r>
      <w:r w:rsidR="00367AB5" w:rsidRPr="00322379">
        <w:t>Lerdahl and Jackendoff’s metrical preference rule</w:t>
      </w:r>
      <w:r w:rsidR="00583B6E">
        <w:t>s</w:t>
      </w:r>
      <w:r w:rsidR="00367AB5" w:rsidRPr="00322379">
        <w:t xml:space="preserve"> or Rothstein’s “stability rule”). </w:t>
      </w:r>
      <w:r w:rsidRPr="00322379">
        <w:t>Since the introduction is clearly beginning-accented (the first and third half</w:t>
      </w:r>
      <w:r w:rsidR="00583B6E">
        <w:t xml:space="preserve"> </w:t>
      </w:r>
      <w:r w:rsidRPr="00322379">
        <w:t>notes</w:t>
      </w:r>
      <w:r w:rsidR="006044B5" w:rsidRPr="00322379">
        <w:t xml:space="preserve"> are </w:t>
      </w:r>
      <w:r w:rsidR="00562067" w:rsidRPr="00322379">
        <w:t>strong</w:t>
      </w:r>
      <w:r w:rsidR="006044B5" w:rsidRPr="00322379">
        <w:t xml:space="preserve"> </w:t>
      </w:r>
      <w:r w:rsidR="00493201">
        <w:t>owing</w:t>
      </w:r>
      <w:r w:rsidR="006044B5" w:rsidRPr="00322379">
        <w:t xml:space="preserve"> to the low bass notes)</w:t>
      </w:r>
      <w:r w:rsidRPr="00322379">
        <w:t xml:space="preserve">, the extra beat just before the antecedent results in two consecutive strong beats at the junction of the introduction and the antecedent, producing a metrical reinterpretation or </w:t>
      </w:r>
      <w:r w:rsidR="001E3396">
        <w:t>“</w:t>
      </w:r>
      <w:r w:rsidRPr="001E3396">
        <w:t>deletion</w:t>
      </w:r>
      <w:r w:rsidR="001E3396">
        <w:t>”</w:t>
      </w:r>
      <w:r w:rsidRPr="00322379">
        <w:t xml:space="preserve"> (Lerdahl and Jackendoff 1983, 70).</w:t>
      </w:r>
      <w:r w:rsidRPr="007507DE">
        <w:rPr>
          <w:rStyle w:val="FootnoteReference"/>
        </w:rPr>
        <w:footnoteReference w:id="16"/>
      </w:r>
      <w:r w:rsidRPr="00322379">
        <w:t xml:space="preserve"> </w:t>
      </w:r>
      <w:r w:rsidR="004877D5">
        <w:t>Thus</w:t>
      </w:r>
      <w:r w:rsidR="0037395B" w:rsidRPr="00322379">
        <w:t xml:space="preserve"> th</w:t>
      </w:r>
      <w:r w:rsidR="006365BB" w:rsidRPr="00322379">
        <w:t>e</w:t>
      </w:r>
      <w:r w:rsidR="0037395B" w:rsidRPr="00322379">
        <w:t xml:space="preserve"> re</w:t>
      </w:r>
      <w:r w:rsidR="000B62E3">
        <w:t>-</w:t>
      </w:r>
      <w:r w:rsidR="0037395B" w:rsidRPr="00322379">
        <w:t xml:space="preserve">notated version </w:t>
      </w:r>
      <w:r w:rsidR="006044B5" w:rsidRPr="00322379">
        <w:t xml:space="preserve">in Example 4 </w:t>
      </w:r>
      <w:r w:rsidR="0037395B" w:rsidRPr="00322379">
        <w:t>transfers the anomalous</w:t>
      </w:r>
      <w:r w:rsidRPr="00322379">
        <w:t xml:space="preserve"> 2/4 measure immediately prior to the antecedent and the consequent.</w:t>
      </w:r>
      <w:r w:rsidR="00217678" w:rsidRPr="004877D5">
        <w:rPr>
          <w:rStyle w:val="FootnoteReference"/>
        </w:rPr>
        <w:footnoteReference w:id="17"/>
      </w:r>
    </w:p>
    <w:p w14:paraId="4DEACD59" w14:textId="77777777" w:rsidR="00797F6F" w:rsidRDefault="00797F6F" w:rsidP="00797F6F"/>
    <w:p w14:paraId="51A9E04D" w14:textId="4DF6FE40" w:rsidR="00797F6F" w:rsidRDefault="00797F6F" w:rsidP="00797F6F">
      <w:r>
        <w:rPr>
          <w:b/>
          <w:bCs/>
        </w:rPr>
        <w:t xml:space="preserve">Example 4 </w:t>
      </w:r>
      <w:r>
        <w:t>Sergei Rachmaninoff, Prelude in G Minor, op. 23, no. 5</w:t>
      </w:r>
      <w:r w:rsidR="000B2849">
        <w:t>, mm. 1–4</w:t>
      </w:r>
      <w:r w:rsidR="00985F78">
        <w:t>,</w:t>
      </w:r>
      <w:r w:rsidR="000B2849">
        <w:t xml:space="preserve"> re-barred.</w:t>
      </w:r>
    </w:p>
    <w:p w14:paraId="58A625F6" w14:textId="77777777" w:rsidR="009A3CA5" w:rsidRPr="00797F6F" w:rsidRDefault="009A3CA5" w:rsidP="00797F6F">
      <w:pPr>
        <w:rPr>
          <w:rFonts w:ascii="Garamond" w:eastAsia="Calibri" w:hAnsi="Garamond"/>
        </w:rPr>
      </w:pPr>
    </w:p>
    <w:p w14:paraId="476E79CA" w14:textId="13E430A1" w:rsidR="0081569B" w:rsidRDefault="006044B5" w:rsidP="009A3CA5">
      <w:r w:rsidRPr="00322379">
        <w:t>But t</w:t>
      </w:r>
      <w:r w:rsidR="0081569B" w:rsidRPr="00322379">
        <w:t>his, of course,</w:t>
      </w:r>
      <w:r w:rsidR="00F04F71" w:rsidRPr="00322379">
        <w:t xml:space="preserve"> is</w:t>
      </w:r>
      <w:r w:rsidR="0081569B" w:rsidRPr="00322379">
        <w:t xml:space="preserve"> </w:t>
      </w:r>
      <w:r w:rsidR="0081569B" w:rsidRPr="00322379">
        <w:rPr>
          <w:i/>
          <w:iCs/>
        </w:rPr>
        <w:t>not</w:t>
      </w:r>
      <w:r w:rsidR="0081569B" w:rsidRPr="00322379">
        <w:t xml:space="preserve"> how Rachmaninoff chooses to notate it. Instead, he implies an end-accented pattern, notating </w:t>
      </w:r>
      <w:r w:rsidR="0037395B" w:rsidRPr="00322379">
        <w:t>time</w:t>
      </w:r>
      <w:r w:rsidR="009A3CA5">
        <w:t xml:space="preserve"> </w:t>
      </w:r>
      <w:r w:rsidR="0037395B" w:rsidRPr="00322379">
        <w:t>signature change</w:t>
      </w:r>
      <w:r w:rsidR="009A3CA5">
        <w:t>s</w:t>
      </w:r>
      <w:r w:rsidR="0037395B" w:rsidRPr="00322379">
        <w:t xml:space="preserve"> in m. 9 and </w:t>
      </w:r>
      <w:r w:rsidR="009A3CA5">
        <w:t xml:space="preserve">m. </w:t>
      </w:r>
      <w:r w:rsidR="0037395B" w:rsidRPr="00322379">
        <w:t xml:space="preserve">16, and placing </w:t>
      </w:r>
      <w:r w:rsidR="0081569B" w:rsidRPr="00322379">
        <w:t xml:space="preserve">the </w:t>
      </w:r>
      <w:r w:rsidR="0081569B" w:rsidRPr="00322379">
        <w:rPr>
          <w:i/>
          <w:iCs/>
        </w:rPr>
        <w:t>second</w:t>
      </w:r>
      <w:r w:rsidR="0081569B" w:rsidRPr="00322379">
        <w:t xml:space="preserve"> and </w:t>
      </w:r>
      <w:r w:rsidR="0081569B" w:rsidRPr="00322379">
        <w:rPr>
          <w:i/>
          <w:iCs/>
        </w:rPr>
        <w:t>fourth</w:t>
      </w:r>
      <w:r w:rsidR="0081569B" w:rsidRPr="00322379">
        <w:t xml:space="preserve"> half</w:t>
      </w:r>
      <w:r w:rsidR="009A3CA5">
        <w:t xml:space="preserve"> </w:t>
      </w:r>
      <w:r w:rsidR="0081569B" w:rsidRPr="00322379">
        <w:t xml:space="preserve">notes in the structural period on downbeats. This forces a metrical reinterpretation of the beat directly following the two cadences. The visual markedness of the cadences as the anomalous 2/4 measures suggests </w:t>
      </w:r>
      <w:r w:rsidR="00C54174" w:rsidRPr="00322379">
        <w:t>that</w:t>
      </w:r>
      <w:r w:rsidR="0081569B" w:rsidRPr="00322379">
        <w:t xml:space="preserve"> </w:t>
      </w:r>
      <w:r w:rsidR="00D7557C">
        <w:t xml:space="preserve">their downbeats </w:t>
      </w:r>
      <w:r w:rsidR="0081569B" w:rsidRPr="00322379">
        <w:t xml:space="preserve">are </w:t>
      </w:r>
      <w:r w:rsidR="0081569B" w:rsidRPr="005410CD">
        <w:t>the</w:t>
      </w:r>
      <w:r w:rsidR="0081569B" w:rsidRPr="00322379">
        <w:t xml:space="preserve"> </w:t>
      </w:r>
      <w:r w:rsidR="00E10CB9">
        <w:t xml:space="preserve">very </w:t>
      </w:r>
      <w:r w:rsidR="0081569B" w:rsidRPr="00322379">
        <w:t>strongest</w:t>
      </w:r>
      <w:r w:rsidR="00E10CB9">
        <w:t xml:space="preserve"> in the passage</w:t>
      </w:r>
      <w:r w:rsidR="0081569B" w:rsidRPr="00322379">
        <w:t>, hypermetrical accent</w:t>
      </w:r>
      <w:r w:rsidR="00E10CB9">
        <w:t>s</w:t>
      </w:r>
      <w:r w:rsidR="0081569B" w:rsidRPr="00322379">
        <w:t xml:space="preserve"> at the </w:t>
      </w:r>
      <w:r w:rsidR="00493201">
        <w:t>four</w:t>
      </w:r>
      <w:r w:rsidR="0081569B" w:rsidRPr="00322379">
        <w:t>-ha</w:t>
      </w:r>
      <w:r w:rsidR="00244E42" w:rsidRPr="00322379">
        <w:t>l</w:t>
      </w:r>
      <w:r w:rsidR="0081569B" w:rsidRPr="00322379">
        <w:t xml:space="preserve">f-note </w:t>
      </w:r>
      <w:r w:rsidR="00244E42" w:rsidRPr="00322379">
        <w:t xml:space="preserve">level </w:t>
      </w:r>
      <w:r w:rsidR="0081569B" w:rsidRPr="00322379">
        <w:t xml:space="preserve">and maybe even the </w:t>
      </w:r>
      <w:r w:rsidR="00493201">
        <w:t>eight</w:t>
      </w:r>
      <w:r w:rsidR="0081569B" w:rsidRPr="00322379">
        <w:t xml:space="preserve">-half-note level. (A </w:t>
      </w:r>
      <w:r w:rsidR="0081569B" w:rsidRPr="00322379">
        <w:lastRenderedPageBreak/>
        <w:t>later re</w:t>
      </w:r>
      <w:r w:rsidR="000B62E3">
        <w:t>-</w:t>
      </w:r>
      <w:r w:rsidR="0081569B" w:rsidRPr="00322379">
        <w:t>composition of this material, however, undermines this impression; see analysis of the recapitulation, below.)</w:t>
      </w:r>
    </w:p>
    <w:p w14:paraId="5368ED7D" w14:textId="77777777" w:rsidR="002D5CF8" w:rsidRPr="00322379" w:rsidRDefault="002D5CF8" w:rsidP="009A3CA5"/>
    <w:p w14:paraId="49BC9F4A" w14:textId="7A937983" w:rsidR="0081569B" w:rsidRDefault="00493201" w:rsidP="002D5CF8">
      <w:r>
        <w:t>Regardless of w</w:t>
      </w:r>
      <w:r w:rsidR="0081569B" w:rsidRPr="00322379">
        <w:t>hich metrical reading one prefers, the phrase-rhythmic irregularities—including the five-beat introduction and un</w:t>
      </w:r>
      <w:r w:rsidR="00D32972" w:rsidRPr="00322379">
        <w:t>expected</w:t>
      </w:r>
      <w:r w:rsidR="0081569B" w:rsidRPr="00322379">
        <w:t xml:space="preserve"> interpol</w:t>
      </w:r>
      <w:r w:rsidR="00796862" w:rsidRPr="00322379">
        <w:t>ation</w:t>
      </w:r>
      <w:r w:rsidR="0081569B" w:rsidRPr="00322379">
        <w:t xml:space="preserve">—create an impression of </w:t>
      </w:r>
      <w:r w:rsidR="00B679A3" w:rsidRPr="00322379">
        <w:t xml:space="preserve">discontinuity and even </w:t>
      </w:r>
      <w:r w:rsidR="0081569B" w:rsidRPr="00322379">
        <w:t>reluctance</w:t>
      </w:r>
      <w:r>
        <w:t xml:space="preserve">, </w:t>
      </w:r>
      <w:r w:rsidR="004E3BD6" w:rsidRPr="00322379">
        <w:t>a quality that stands out in Rachmaninoff’s own performance as he slows down and briefly softens the dynamic in the middle of m. 5.</w:t>
      </w:r>
      <w:r w:rsidR="00897584">
        <w:rPr>
          <w:rStyle w:val="FootnoteReference"/>
        </w:rPr>
        <w:footnoteReference w:id="18"/>
      </w:r>
      <w:r w:rsidR="0081569B" w:rsidRPr="00322379">
        <w:t xml:space="preserve"> This observation </w:t>
      </w:r>
      <w:r>
        <w:t>is important</w:t>
      </w:r>
      <w:r w:rsidR="0081569B" w:rsidRPr="00322379">
        <w:t xml:space="preserve"> to the last part of my analysis—the large-scale form (Example 2)</w:t>
      </w:r>
      <w:r>
        <w:t>, to which I now return</w:t>
      </w:r>
      <w:r w:rsidR="0081569B" w:rsidRPr="00322379">
        <w:t>.</w:t>
      </w:r>
    </w:p>
    <w:p w14:paraId="651BDFE6" w14:textId="77777777" w:rsidR="00C33342" w:rsidRPr="00322379" w:rsidRDefault="00C33342" w:rsidP="002D5CF8"/>
    <w:p w14:paraId="741D0B3F" w14:textId="57884CD0" w:rsidR="00BD6E12" w:rsidRDefault="0081569B" w:rsidP="00C33342">
      <w:r w:rsidRPr="00322379">
        <w:t xml:space="preserve">The </w:t>
      </w:r>
      <w:r w:rsidR="00493201">
        <w:t xml:space="preserve">metric </w:t>
      </w:r>
      <w:r w:rsidR="000725BE" w:rsidRPr="00322379">
        <w:t xml:space="preserve">discontinuity </w:t>
      </w:r>
      <w:r w:rsidRPr="00322379">
        <w:t xml:space="preserve">of the </w:t>
      </w:r>
      <w:r w:rsidRPr="00C33342">
        <w:rPr>
          <w:i/>
          <w:iCs/>
        </w:rPr>
        <w:t>a</w:t>
      </w:r>
      <w:r w:rsidRPr="00322379">
        <w:t xml:space="preserve"> section </w:t>
      </w:r>
      <w:r w:rsidR="00BD6E12" w:rsidRPr="00322379">
        <w:t>is</w:t>
      </w:r>
      <w:r w:rsidRPr="00322379">
        <w:t xml:space="preserve"> entirely </w:t>
      </w:r>
      <w:r w:rsidR="00493201">
        <w:t>absent from</w:t>
      </w:r>
      <w:r w:rsidRPr="00322379">
        <w:t xml:space="preserve"> the rest of the piece, and the anomalous 2/4 measure</w:t>
      </w:r>
      <w:r w:rsidR="00493201">
        <w:t>s</w:t>
      </w:r>
      <w:r w:rsidRPr="00322379">
        <w:t xml:space="preserve"> never </w:t>
      </w:r>
      <w:r w:rsidR="00493201">
        <w:t>return</w:t>
      </w:r>
      <w:r w:rsidRPr="00322379">
        <w:t xml:space="preserve">. This happens for a different reason in each formal </w:t>
      </w:r>
      <w:r w:rsidR="00410F18" w:rsidRPr="00322379">
        <w:t>area</w:t>
      </w:r>
      <w:r w:rsidRPr="00322379">
        <w:t xml:space="preserve">. First, </w:t>
      </w:r>
      <w:r w:rsidR="00892E8F">
        <w:t xml:space="preserve">within the large A, </w:t>
      </w:r>
      <w:r w:rsidR="00D32972" w:rsidRPr="00322379">
        <w:t xml:space="preserve">the </w:t>
      </w:r>
      <w:r w:rsidR="00D32972" w:rsidRPr="00E9385B">
        <w:rPr>
          <w:i/>
          <w:iCs/>
        </w:rPr>
        <w:t>b</w:t>
      </w:r>
      <w:r w:rsidR="00D32972" w:rsidRPr="00322379">
        <w:t xml:space="preserve"> section is phrase-rhythmically regular; its medial character is </w:t>
      </w:r>
      <w:r w:rsidR="00A27598">
        <w:t xml:space="preserve">defined </w:t>
      </w:r>
      <w:r w:rsidR="00D32972" w:rsidRPr="00322379">
        <w:t xml:space="preserve">primarily </w:t>
      </w:r>
      <w:r w:rsidR="00A27598">
        <w:t xml:space="preserve">by its </w:t>
      </w:r>
      <w:r w:rsidR="00D32972" w:rsidRPr="00322379">
        <w:t>sequential progression (chord roots E</w:t>
      </w:r>
      <w:r w:rsidR="00493201">
        <w:t>ß</w:t>
      </w:r>
      <w:r w:rsidR="00D32972" w:rsidRPr="00322379">
        <w:t>–B</w:t>
      </w:r>
      <w:r w:rsidR="00493201">
        <w:t>ß</w:t>
      </w:r>
      <w:r w:rsidR="00D32972" w:rsidRPr="00322379">
        <w:t>–D; F–C–E</w:t>
      </w:r>
      <w:r w:rsidR="00493201">
        <w:t>ß</w:t>
      </w:r>
      <w:r w:rsidR="00D32972" w:rsidRPr="00322379">
        <w:t xml:space="preserve">). The </w:t>
      </w:r>
      <w:r w:rsidR="00D32972" w:rsidRPr="009C68B2">
        <w:rPr>
          <w:i/>
          <w:iCs/>
        </w:rPr>
        <w:t>a</w:t>
      </w:r>
      <w:r w:rsidR="00B9604D">
        <w:t>′</w:t>
      </w:r>
      <w:r w:rsidR="00D32972" w:rsidRPr="00322379">
        <w:t xml:space="preserve"> </w:t>
      </w:r>
      <w:r w:rsidR="00410F18" w:rsidRPr="00322379">
        <w:t xml:space="preserve">section </w:t>
      </w:r>
      <w:r w:rsidR="00D32972" w:rsidRPr="00322379">
        <w:t>is truncate</w:t>
      </w:r>
      <w:r w:rsidRPr="00322379">
        <w:t xml:space="preserve">d </w:t>
      </w:r>
      <w:r w:rsidR="00D32972" w:rsidRPr="00322379">
        <w:t>and preserves</w:t>
      </w:r>
      <w:r w:rsidRPr="00322379">
        <w:t xml:space="preserve"> only the first of </w:t>
      </w:r>
      <w:r w:rsidR="00B9604D">
        <w:t xml:space="preserve">the </w:t>
      </w:r>
      <w:r w:rsidRPr="00322379">
        <w:t xml:space="preserve">four phrases </w:t>
      </w:r>
      <w:r w:rsidR="00B9604D">
        <w:t>in</w:t>
      </w:r>
      <w:r w:rsidRPr="00322379">
        <w:t xml:space="preserve"> the original compound period</w:t>
      </w:r>
      <w:r w:rsidR="00D32972" w:rsidRPr="00322379">
        <w:t xml:space="preserve">. </w:t>
      </w:r>
      <w:r w:rsidR="00093C6A">
        <w:t>F</w:t>
      </w:r>
      <w:r w:rsidRPr="00322379">
        <w:t>raming material</w:t>
      </w:r>
      <w:r w:rsidR="00093C6A">
        <w:t xml:space="preserve"> is still present</w:t>
      </w:r>
      <w:r w:rsidRPr="00322379">
        <w:t xml:space="preserve">, but </w:t>
      </w:r>
      <w:r w:rsidR="00093C6A">
        <w:t xml:space="preserve">in a </w:t>
      </w:r>
      <w:r w:rsidRPr="00322379">
        <w:t xml:space="preserve">different </w:t>
      </w:r>
      <w:r w:rsidR="004D6CF0">
        <w:t xml:space="preserve">form </w:t>
      </w:r>
      <w:r w:rsidRPr="00322379">
        <w:t xml:space="preserve">this time. </w:t>
      </w:r>
      <w:r w:rsidR="002F49FA" w:rsidRPr="00322379">
        <w:t>Th</w:t>
      </w:r>
      <w:r w:rsidR="002F49FA">
        <w:t>e</w:t>
      </w:r>
      <w:r w:rsidR="002F49FA" w:rsidRPr="00322379">
        <w:t xml:space="preserve"> </w:t>
      </w:r>
      <w:r w:rsidRPr="00322379">
        <w:t>section is twenty half</w:t>
      </w:r>
      <w:r w:rsidR="002F49FA">
        <w:t xml:space="preserve"> </w:t>
      </w:r>
      <w:r w:rsidRPr="00322379">
        <w:t>notes long, arranged as 5+4+11</w:t>
      </w:r>
      <w:r w:rsidR="00BD6E12" w:rsidRPr="00322379">
        <w:t xml:space="preserve"> (</w:t>
      </w:r>
      <w:r w:rsidR="00D32972" w:rsidRPr="00322379">
        <w:t>t</w:t>
      </w:r>
      <w:r w:rsidR="00BD6E12" w:rsidRPr="00322379">
        <w:t xml:space="preserve">he last </w:t>
      </w:r>
      <w:r w:rsidR="00216C1B" w:rsidRPr="00322379">
        <w:t>eleven</w:t>
      </w:r>
      <w:r w:rsidR="00BD6E12" w:rsidRPr="00322379">
        <w:t xml:space="preserve"> are post-cadential, a standing</w:t>
      </w:r>
      <w:r w:rsidR="00081BE3">
        <w:t xml:space="preserve"> </w:t>
      </w:r>
      <w:r w:rsidR="00BD6E12" w:rsidRPr="00322379">
        <w:t>on</w:t>
      </w:r>
      <w:r w:rsidR="00081BE3">
        <w:t xml:space="preserve"> </w:t>
      </w:r>
      <w:r w:rsidR="00BD6E12" w:rsidRPr="00322379">
        <w:t>the</w:t>
      </w:r>
      <w:r w:rsidR="00081BE3">
        <w:t xml:space="preserve"> </w:t>
      </w:r>
      <w:r w:rsidR="00BD6E12" w:rsidRPr="00322379">
        <w:t>dominant after a</w:t>
      </w:r>
      <w:r w:rsidR="00D36730">
        <w:t>n</w:t>
      </w:r>
      <w:r w:rsidR="00BD6E12" w:rsidRPr="00322379">
        <w:t xml:space="preserve"> HC)</w:t>
      </w:r>
      <w:r w:rsidRPr="00322379">
        <w:t xml:space="preserve">. </w:t>
      </w:r>
      <w:r w:rsidR="00584837">
        <w:t xml:space="preserve">Although </w:t>
      </w:r>
      <w:r w:rsidRPr="00322379">
        <w:t xml:space="preserve">asymmetrical, </w:t>
      </w:r>
      <w:r w:rsidR="00584837">
        <w:t xml:space="preserve">this section </w:t>
      </w:r>
      <w:r w:rsidR="00B264EC">
        <w:t xml:space="preserve">has </w:t>
      </w:r>
      <w:r w:rsidRPr="00322379">
        <w:t>an even number of beats, and no extra half</w:t>
      </w:r>
      <w:r w:rsidR="00B264EC">
        <w:t xml:space="preserve"> </w:t>
      </w:r>
      <w:r w:rsidRPr="00322379">
        <w:t xml:space="preserve">note is needed. The large-scale </w:t>
      </w:r>
      <w:r w:rsidR="00410F18" w:rsidRPr="00322379">
        <w:t>B</w:t>
      </w:r>
      <w:r w:rsidRPr="00322379">
        <w:t xml:space="preserve"> section</w:t>
      </w:r>
      <w:r w:rsidR="00F97D3C" w:rsidRPr="00322379">
        <w:t xml:space="preserve"> </w:t>
      </w:r>
      <w:r w:rsidRPr="00322379">
        <w:t xml:space="preserve">is </w:t>
      </w:r>
      <w:r w:rsidR="00F97D3C" w:rsidRPr="00322379">
        <w:t>mostly metrically</w:t>
      </w:r>
      <w:r w:rsidRPr="00322379">
        <w:t xml:space="preserve"> regular</w:t>
      </w:r>
      <w:r w:rsidR="00F97D3C" w:rsidRPr="00322379">
        <w:t xml:space="preserve">. It brings new thematic material, </w:t>
      </w:r>
      <w:r w:rsidRPr="00322379">
        <w:t>lyrical and</w:t>
      </w:r>
      <w:r w:rsidR="00F97D3C" w:rsidRPr="00322379">
        <w:t xml:space="preserve">—unlike the melodically fragmentary A section—with </w:t>
      </w:r>
      <w:r w:rsidRPr="00322379">
        <w:t>a real melody</w:t>
      </w:r>
      <w:r w:rsidR="00F97D3C" w:rsidRPr="00322379">
        <w:t xml:space="preserve">, completely eschewing any </w:t>
      </w:r>
      <w:r w:rsidR="006B7856">
        <w:t>eighteenth</w:t>
      </w:r>
      <w:r w:rsidR="00F97D3C" w:rsidRPr="00322379">
        <w:t>-century references</w:t>
      </w:r>
      <w:r w:rsidRPr="00322379">
        <w:t xml:space="preserve">. </w:t>
      </w:r>
      <w:r w:rsidR="00F97D3C" w:rsidRPr="00322379">
        <w:t xml:space="preserve">The slower melodic development </w:t>
      </w:r>
      <w:r w:rsidR="003678BB">
        <w:t xml:space="preserve">and </w:t>
      </w:r>
      <w:r w:rsidR="00F97D3C" w:rsidRPr="00322379">
        <w:lastRenderedPageBreak/>
        <w:t xml:space="preserve">broader sweeps of the accompaniment suggest </w:t>
      </w:r>
      <w:r w:rsidR="00F97D3C" w:rsidRPr="00322379">
        <w:rPr>
          <w:i/>
          <w:iCs/>
        </w:rPr>
        <w:t>alla breve</w:t>
      </w:r>
      <w:r w:rsidR="00410F18" w:rsidRPr="00322379">
        <w:t xml:space="preserve"> </w:t>
      </w:r>
      <w:r w:rsidR="00F97D3C" w:rsidRPr="00322379">
        <w:t>measure</w:t>
      </w:r>
      <w:r w:rsidR="009B3FE1">
        <w:t>s</w:t>
      </w:r>
      <w:r w:rsidR="00F97D3C" w:rsidRPr="00322379">
        <w:t xml:space="preserve"> (a whole</w:t>
      </w:r>
      <w:r w:rsidR="009B3FE1">
        <w:t xml:space="preserve"> </w:t>
      </w:r>
      <w:r w:rsidR="00F97D3C" w:rsidRPr="00322379">
        <w:t xml:space="preserve">note long, rather than a de facto 2/4). The theme consists of two sentence-like phrases, both of which begin and end on the dominant harmony, D. There is a single hypermetrical shift </w:t>
      </w:r>
      <w:r w:rsidR="0064481F" w:rsidRPr="00322379">
        <w:t>(</w:t>
      </w:r>
      <w:r w:rsidR="00E9276E">
        <w:t xml:space="preserve">or </w:t>
      </w:r>
      <w:r w:rsidR="0064481F" w:rsidRPr="00322379">
        <w:t xml:space="preserve">reinterpretation) </w:t>
      </w:r>
      <w:r w:rsidR="00F97D3C" w:rsidRPr="00322379">
        <w:t>at m. 42,</w:t>
      </w:r>
      <w:r w:rsidR="00B117F6" w:rsidRPr="00322379">
        <w:t xml:space="preserve"> right after the first sentence has been compressed by a measure</w:t>
      </w:r>
      <w:r w:rsidR="00F97D3C" w:rsidRPr="00322379">
        <w:t>.</w:t>
      </w:r>
    </w:p>
    <w:p w14:paraId="62F1D108" w14:textId="77777777" w:rsidR="00E9276E" w:rsidRPr="00322379" w:rsidRDefault="00E9276E" w:rsidP="00C33342"/>
    <w:p w14:paraId="65E16356" w14:textId="7E61836E" w:rsidR="0081569B" w:rsidRDefault="0081569B" w:rsidP="00E9276E">
      <w:r w:rsidRPr="00322379">
        <w:t xml:space="preserve">Finally, the prelude’s large-scale recapitulation </w:t>
      </w:r>
      <w:r w:rsidR="00AF31D6">
        <w:t>contains some striking features</w:t>
      </w:r>
      <w:r w:rsidRPr="00322379">
        <w:t xml:space="preserve">. </w:t>
      </w:r>
      <w:r w:rsidR="00AF31D6">
        <w:t>W</w:t>
      </w:r>
      <w:r w:rsidR="00B40B53" w:rsidRPr="00322379">
        <w:t xml:space="preserve">e </w:t>
      </w:r>
      <w:r w:rsidRPr="00322379">
        <w:t>might initially expect a return of the opening small ternary</w:t>
      </w:r>
      <w:r w:rsidR="00B9604D">
        <w:t xml:space="preserve"> from section A</w:t>
      </w:r>
      <w:r w:rsidRPr="00322379">
        <w:t xml:space="preserve">. Instead, </w:t>
      </w:r>
      <w:r w:rsidR="004912B5">
        <w:t xml:space="preserve">only </w:t>
      </w:r>
      <w:r w:rsidRPr="00322379">
        <w:t xml:space="preserve">remnants of </w:t>
      </w:r>
      <w:r w:rsidR="004912B5">
        <w:t xml:space="preserve">the </w:t>
      </w:r>
      <w:r w:rsidRPr="00322379">
        <w:t>opening theme</w:t>
      </w:r>
      <w:r w:rsidR="004912B5">
        <w:t xml:space="preserve"> appear</w:t>
      </w:r>
      <w:r w:rsidRPr="00322379">
        <w:t xml:space="preserve">. </w:t>
      </w:r>
      <w:r w:rsidR="004912B5">
        <w:t xml:space="preserve">The </w:t>
      </w:r>
      <w:r w:rsidRPr="004912B5">
        <w:rPr>
          <w:i/>
          <w:iCs/>
        </w:rPr>
        <w:t>a</w:t>
      </w:r>
      <w:r w:rsidRPr="00322379">
        <w:t xml:space="preserve"> section is replaced with a new passage, 14 notated measures long (</w:t>
      </w:r>
      <w:r w:rsidR="00504DB9" w:rsidRPr="00322379">
        <w:t>equal</w:t>
      </w:r>
      <w:r w:rsidR="00504DB9">
        <w:t xml:space="preserve"> to</w:t>
      </w:r>
      <w:r w:rsidR="00504DB9" w:rsidRPr="00322379">
        <w:t xml:space="preserve"> </w:t>
      </w:r>
      <w:r w:rsidRPr="00322379">
        <w:t>28 half</w:t>
      </w:r>
      <w:r w:rsidR="00504DB9">
        <w:t xml:space="preserve"> </w:t>
      </w:r>
      <w:r w:rsidRPr="00322379">
        <w:t xml:space="preserve">notes, </w:t>
      </w:r>
      <w:r w:rsidR="00504DB9">
        <w:t xml:space="preserve">thus without </w:t>
      </w:r>
      <w:r w:rsidR="00504DB9" w:rsidRPr="00322379">
        <w:t>requir</w:t>
      </w:r>
      <w:r w:rsidR="00504DB9">
        <w:t>ing</w:t>
      </w:r>
      <w:r w:rsidR="00504DB9" w:rsidRPr="00322379">
        <w:t xml:space="preserve"> </w:t>
      </w:r>
      <w:r w:rsidR="00BD6E12" w:rsidRPr="00322379">
        <w:t xml:space="preserve">a </w:t>
      </w:r>
      <w:r w:rsidRPr="00322379">
        <w:t xml:space="preserve">change </w:t>
      </w:r>
      <w:r w:rsidR="00D32972" w:rsidRPr="00322379">
        <w:t>of</w:t>
      </w:r>
      <w:r w:rsidRPr="00322379">
        <w:t xml:space="preserve"> time signature). The symmetrical </w:t>
      </w:r>
      <w:r w:rsidR="00A4599A" w:rsidRPr="00A4599A">
        <w:rPr>
          <w:i/>
          <w:iCs/>
        </w:rPr>
        <w:t>b</w:t>
      </w:r>
      <w:r w:rsidR="00A4599A">
        <w:t xml:space="preserve"> section </w:t>
      </w:r>
      <w:r w:rsidRPr="00322379">
        <w:t>remains the same as before. Finally, a</w:t>
      </w:r>
      <w:r w:rsidR="00B9604D">
        <w:t>′</w:t>
      </w:r>
      <w:r w:rsidRPr="00322379">
        <w:t xml:space="preserve"> is </w:t>
      </w:r>
      <w:r w:rsidR="00B9604D">
        <w:t xml:space="preserve">omitted </w:t>
      </w:r>
      <w:r w:rsidRPr="00322379">
        <w:t>entirely, replaced with a lengthy post-cadential passage prolonging the G-minor tonic.</w:t>
      </w:r>
      <w:r w:rsidR="00C8039A" w:rsidRPr="004E386E">
        <w:rPr>
          <w:rStyle w:val="FootnoteReference"/>
        </w:rPr>
        <w:footnoteReference w:id="19"/>
      </w:r>
      <w:r w:rsidRPr="00322379">
        <w:t xml:space="preserve"> </w:t>
      </w:r>
      <w:r w:rsidR="00C8039A" w:rsidRPr="00322379">
        <w:t xml:space="preserve">This </w:t>
      </w:r>
      <w:r w:rsidR="00B9604D">
        <w:t>dissolution</w:t>
      </w:r>
      <w:r w:rsidR="00C8039A" w:rsidRPr="00322379">
        <w:t xml:space="preserve"> of the former ternary</w:t>
      </w:r>
      <w:r w:rsidR="00B40B53" w:rsidRPr="00322379">
        <w:t xml:space="preserve"> theme</w:t>
      </w:r>
      <w:r w:rsidR="00C8039A" w:rsidRPr="00322379">
        <w:t xml:space="preserve"> suggests </w:t>
      </w:r>
      <w:r w:rsidR="004B4E9F">
        <w:t>a</w:t>
      </w:r>
      <w:r w:rsidR="005223BC">
        <w:t xml:space="preserve"> process </w:t>
      </w:r>
      <w:r w:rsidR="00C8039A" w:rsidRPr="00322379">
        <w:t xml:space="preserve">of </w:t>
      </w:r>
      <w:r w:rsidR="00C8039A" w:rsidRPr="00F13C4C">
        <w:t>becoming</w:t>
      </w:r>
      <w:r w:rsidR="00C8039A" w:rsidRPr="00322379">
        <w:t xml:space="preserve"> </w:t>
      </w:r>
      <w:r w:rsidR="005223BC">
        <w:t>(Schmalfeldt 2011)</w:t>
      </w:r>
      <w:r w:rsidR="00C8039A" w:rsidRPr="00322379">
        <w:t>: retransition</w:t>
      </w:r>
      <w:r w:rsidR="00F052D9" w:rsidRPr="00F052D9">
        <w:rPr>
          <w:rFonts w:ascii="Cambria Math" w:hAnsi="Cambria Math" w:cs="Cambria Math"/>
        </w:rPr>
        <w:t>⇒</w:t>
      </w:r>
      <w:r w:rsidR="00C8039A" w:rsidRPr="00F052D9">
        <w:rPr>
          <w:i/>
          <w:iCs/>
        </w:rPr>
        <w:t>a</w:t>
      </w:r>
      <w:r w:rsidR="00676984">
        <w:t>,</w:t>
      </w:r>
      <w:r w:rsidR="00676984" w:rsidRPr="00322379">
        <w:t xml:space="preserve"> </w:t>
      </w:r>
      <w:r w:rsidR="00676984">
        <w:t xml:space="preserve">unmodified </w:t>
      </w:r>
      <w:r w:rsidR="00C8039A" w:rsidRPr="00676984">
        <w:rPr>
          <w:i/>
          <w:iCs/>
        </w:rPr>
        <w:t>b</w:t>
      </w:r>
      <w:r w:rsidR="00676984">
        <w:t>,</w:t>
      </w:r>
      <w:r w:rsidR="00C8039A" w:rsidRPr="00322379">
        <w:t xml:space="preserve"> </w:t>
      </w:r>
      <w:r w:rsidR="004762F5">
        <w:t xml:space="preserve">and a </w:t>
      </w:r>
      <w:r w:rsidR="00676984">
        <w:t xml:space="preserve">new </w:t>
      </w:r>
      <w:r w:rsidR="003F08E0" w:rsidRPr="00676984">
        <w:rPr>
          <w:i/>
          <w:iCs/>
        </w:rPr>
        <w:t>a</w:t>
      </w:r>
      <w:r w:rsidR="00B9604D" w:rsidRPr="004762F5">
        <w:t>′</w:t>
      </w:r>
      <w:r w:rsidR="003F08E0" w:rsidRPr="00322379">
        <w:t xml:space="preserve"> prolonging the tonic</w:t>
      </w:r>
      <w:r w:rsidR="00676984" w:rsidRPr="00322379">
        <w:t xml:space="preserve"> </w:t>
      </w:r>
      <w:r w:rsidR="003F08E0" w:rsidRPr="00322379">
        <w:t xml:space="preserve">and </w:t>
      </w:r>
      <w:r w:rsidR="004762F5">
        <w:t xml:space="preserve">becoming </w:t>
      </w:r>
      <w:r w:rsidR="009B2B22" w:rsidRPr="00322379">
        <w:t xml:space="preserve">a </w:t>
      </w:r>
      <w:r w:rsidR="00C8039A" w:rsidRPr="00322379">
        <w:t>post-cadential</w:t>
      </w:r>
      <w:r w:rsidR="003F08E0" w:rsidRPr="00322379">
        <w:t xml:space="preserve"> unit</w:t>
      </w:r>
      <w:r w:rsidR="009B2B22" w:rsidRPr="00322379">
        <w:t xml:space="preserve">, </w:t>
      </w:r>
      <w:r w:rsidR="004762F5">
        <w:t>or</w:t>
      </w:r>
      <w:r w:rsidR="009B2B22" w:rsidRPr="00322379">
        <w:t xml:space="preserve"> </w:t>
      </w:r>
      <w:r w:rsidR="009B2B22" w:rsidRPr="004762F5">
        <w:rPr>
          <w:i/>
          <w:iCs/>
        </w:rPr>
        <w:t>a</w:t>
      </w:r>
      <w:r w:rsidR="004762F5" w:rsidRPr="004762F5">
        <w:t>′</w:t>
      </w:r>
      <w:r w:rsidR="004762F5" w:rsidRPr="00F052D9">
        <w:rPr>
          <w:rFonts w:ascii="Cambria Math" w:hAnsi="Cambria Math" w:cs="Cambria Math"/>
        </w:rPr>
        <w:t>⇒</w:t>
      </w:r>
      <w:r w:rsidR="009B2B22" w:rsidRPr="00322379">
        <w:t>post-cadential</w:t>
      </w:r>
      <w:r w:rsidR="00C8039A" w:rsidRPr="00322379">
        <w:t xml:space="preserve">. </w:t>
      </w:r>
      <w:r w:rsidR="00BD6E12" w:rsidRPr="00322379">
        <w:t>The becoming, or transformation</w:t>
      </w:r>
      <w:r w:rsidR="00B9604D">
        <w:t>,</w:t>
      </w:r>
      <w:r w:rsidR="00BD6E12" w:rsidRPr="00322379">
        <w:t xml:space="preserve"> of formal function</w:t>
      </w:r>
      <w:r w:rsidR="00B9604D">
        <w:t>s</w:t>
      </w:r>
      <w:r w:rsidR="00BD6E12" w:rsidRPr="00322379">
        <w:t xml:space="preserve"> is perhaps </w:t>
      </w:r>
      <w:r w:rsidR="00BD6E12" w:rsidRPr="00647B4A">
        <w:t>the</w:t>
      </w:r>
      <w:r w:rsidR="00BD6E12" w:rsidRPr="00322379">
        <w:t xml:space="preserve"> most Romantic formal feature in this work.</w:t>
      </w:r>
    </w:p>
    <w:p w14:paraId="13C84F27" w14:textId="77777777" w:rsidR="00647B4A" w:rsidRPr="00322379" w:rsidRDefault="00647B4A" w:rsidP="00E9276E"/>
    <w:p w14:paraId="436380E0" w14:textId="77777777" w:rsidR="00D51F26" w:rsidRDefault="0081569B" w:rsidP="00C304F2">
      <w:r w:rsidRPr="00322379">
        <w:t>The retransition</w:t>
      </w:r>
      <w:r w:rsidR="00647B4A" w:rsidRPr="00F052D9">
        <w:rPr>
          <w:rFonts w:ascii="Cambria Math" w:hAnsi="Cambria Math" w:cs="Cambria Math"/>
        </w:rPr>
        <w:t>⇒</w:t>
      </w:r>
      <w:r w:rsidRPr="00647B4A">
        <w:rPr>
          <w:i/>
          <w:iCs/>
        </w:rPr>
        <w:t>a</w:t>
      </w:r>
      <w:r w:rsidRPr="00322379">
        <w:t xml:space="preserve"> requires some comment</w:t>
      </w:r>
      <w:r w:rsidR="00B76437">
        <w:t>.</w:t>
      </w:r>
      <w:r w:rsidR="00B76437" w:rsidRPr="00322379">
        <w:t xml:space="preserve"> </w:t>
      </w:r>
      <w:r w:rsidR="00B76437">
        <w:t>T</w:t>
      </w:r>
      <w:r w:rsidRPr="00322379">
        <w:t xml:space="preserve">he anomalous 2/4 measures disappear </w:t>
      </w:r>
      <w:r w:rsidR="00B76437">
        <w:t xml:space="preserve">on account of </w:t>
      </w:r>
      <w:r w:rsidRPr="00322379">
        <w:t>the near</w:t>
      </w:r>
      <w:r w:rsidR="001716E6">
        <w:t xml:space="preserve"> </w:t>
      </w:r>
      <w:r w:rsidRPr="00322379">
        <w:t>absence of thematic material in the recapitulation. At the prelude’s beginning, each extra half</w:t>
      </w:r>
      <w:r w:rsidR="009D2D1E">
        <w:t xml:space="preserve"> </w:t>
      </w:r>
      <w:r w:rsidRPr="00322379">
        <w:t>note occurs at the form-functional junction of framing and thematic material. In the recapitulation,</w:t>
      </w:r>
      <w:r w:rsidR="00995A43" w:rsidRPr="00322379">
        <w:t xml:space="preserve"> however,</w:t>
      </w:r>
      <w:r w:rsidRPr="00322379">
        <w:t xml:space="preserve"> the </w:t>
      </w:r>
      <w:r w:rsidR="005C10CB">
        <w:t>distinction between</w:t>
      </w:r>
      <w:r w:rsidRPr="00322379">
        <w:t xml:space="preserve"> these two types of material collapses. When the </w:t>
      </w:r>
      <w:r w:rsidRPr="00322379">
        <w:lastRenderedPageBreak/>
        <w:t xml:space="preserve">opening arpeggiated motive </w:t>
      </w:r>
      <w:r w:rsidR="00403176">
        <w:t xml:space="preserve">returns </w:t>
      </w:r>
      <w:r w:rsidRPr="00322379">
        <w:t xml:space="preserve">after the </w:t>
      </w:r>
      <w:r w:rsidR="00403176">
        <w:t>B</w:t>
      </w:r>
      <w:r w:rsidR="00403176" w:rsidRPr="00322379">
        <w:t xml:space="preserve"> </w:t>
      </w:r>
      <w:r w:rsidRPr="00322379">
        <w:t xml:space="preserve">section, one </w:t>
      </w:r>
      <w:r w:rsidR="00DD3B10">
        <w:t xml:space="preserve">may </w:t>
      </w:r>
      <w:r w:rsidRPr="00322379">
        <w:t xml:space="preserve">expect this material </w:t>
      </w:r>
      <w:r w:rsidR="00DD3B10">
        <w:t xml:space="preserve">to fulfill an </w:t>
      </w:r>
      <w:r w:rsidRPr="00322379">
        <w:t xml:space="preserve">introductory </w:t>
      </w:r>
      <w:r w:rsidR="00DD3B10">
        <w:t xml:space="preserve">function </w:t>
      </w:r>
      <w:r w:rsidRPr="00322379">
        <w:t xml:space="preserve">with respect to </w:t>
      </w:r>
      <w:r w:rsidR="00995A43" w:rsidRPr="00322379">
        <w:t xml:space="preserve">the </w:t>
      </w:r>
      <w:r w:rsidRPr="00322379">
        <w:t xml:space="preserve">structural period. </w:t>
      </w:r>
      <w:r w:rsidR="00893649">
        <w:t>T</w:t>
      </w:r>
      <w:r w:rsidRPr="00322379">
        <w:t xml:space="preserve">his passage is </w:t>
      </w:r>
      <w:r w:rsidR="00893649">
        <w:t xml:space="preserve">also </w:t>
      </w:r>
      <w:r w:rsidRPr="00322379">
        <w:t>retransitional, since it begins on the B section’s last harmony (V)</w:t>
      </w:r>
      <w:r w:rsidR="00BC32EC" w:rsidRPr="00322379">
        <w:t xml:space="preserve">, first </w:t>
      </w:r>
      <w:r w:rsidR="00DF290A">
        <w:t>with</w:t>
      </w:r>
      <w:r w:rsidR="00DF290A" w:rsidRPr="00322379">
        <w:t xml:space="preserve"> </w:t>
      </w:r>
      <w:r w:rsidR="00BC32EC" w:rsidRPr="00322379">
        <w:t>a post-cadential phrase</w:t>
      </w:r>
      <w:r w:rsidRPr="00322379">
        <w:t xml:space="preserve"> and </w:t>
      </w:r>
      <w:r w:rsidR="006B7856">
        <w:t xml:space="preserve">then </w:t>
      </w:r>
      <w:r w:rsidRPr="00322379">
        <w:t>sequentially proceed</w:t>
      </w:r>
      <w:r w:rsidR="006B7856">
        <w:t>ing</w:t>
      </w:r>
      <w:r w:rsidRPr="00322379">
        <w:t xml:space="preserve"> toward the tonic. But neither antecedent nor consequent of the initial period ever </w:t>
      </w:r>
      <w:r w:rsidR="006B7856">
        <w:t>recur</w:t>
      </w:r>
      <w:r w:rsidR="00D7643C">
        <w:t>s</w:t>
      </w:r>
      <w:r w:rsidRPr="00322379">
        <w:t xml:space="preserve">, and we </w:t>
      </w:r>
      <w:r w:rsidRPr="00322379">
        <w:rPr>
          <w:i/>
          <w:iCs/>
        </w:rPr>
        <w:t>reinterpret</w:t>
      </w:r>
      <w:r w:rsidRPr="00322379">
        <w:t xml:space="preserve"> the arpeggiated framing material as essential to the recapitulation.</w:t>
      </w:r>
      <w:r w:rsidRPr="00D7643C">
        <w:rPr>
          <w:rStyle w:val="FootnoteReference"/>
        </w:rPr>
        <w:footnoteReference w:id="20"/>
      </w:r>
      <w:r w:rsidRPr="00322379">
        <w:t xml:space="preserve"> Russian theorist Valentina Kholopova (1979) </w:t>
      </w:r>
      <w:r w:rsidR="00935D44">
        <w:t>would identify this as</w:t>
      </w:r>
      <w:r w:rsidRPr="00322379">
        <w:t xml:space="preserve"> </w:t>
      </w:r>
      <w:r w:rsidR="00EC496F">
        <w:t>“</w:t>
      </w:r>
      <w:r w:rsidRPr="00EC496F">
        <w:t>thematized texture</w:t>
      </w:r>
      <w:r w:rsidR="00EC496F">
        <w:t>”</w:t>
      </w:r>
      <w:r w:rsidRPr="00322379">
        <w:t xml:space="preserve"> (</w:t>
      </w:r>
      <w:r w:rsidRPr="005927D2">
        <w:rPr>
          <w:i/>
          <w:iCs/>
        </w:rPr>
        <w:t>temat</w:t>
      </w:r>
      <w:r w:rsidR="00C8039A" w:rsidRPr="005927D2">
        <w:rPr>
          <w:i/>
          <w:iCs/>
        </w:rPr>
        <w:t>e</w:t>
      </w:r>
      <w:r w:rsidRPr="005927D2">
        <w:rPr>
          <w:i/>
          <w:iCs/>
        </w:rPr>
        <w:t>zirovannaya faktura</w:t>
      </w:r>
      <w:r w:rsidRPr="00322379">
        <w:t>)</w:t>
      </w:r>
      <w:r w:rsidR="00995A43" w:rsidRPr="00322379">
        <w:t xml:space="preserve">, </w:t>
      </w:r>
      <w:r w:rsidR="00503F8E" w:rsidRPr="00322379">
        <w:t>a textural pattern made prominent enough to sound thematic</w:t>
      </w:r>
      <w:r w:rsidRPr="00322379">
        <w:t xml:space="preserve">. The extra beat no longer occurs because its original form-functional context—the collision of essential and non-essential material—is gone. </w:t>
      </w:r>
      <w:r w:rsidR="00F01042" w:rsidRPr="00935D44">
        <w:rPr>
          <w:b/>
          <w:bCs/>
          <w:u w:val="single"/>
        </w:rPr>
        <w:t>Example 5</w:t>
      </w:r>
      <w:r w:rsidR="00F01042" w:rsidRPr="00322379">
        <w:t xml:space="preserve"> shows the moment where the “framing material” continues</w:t>
      </w:r>
      <w:r w:rsidR="001D0D9B" w:rsidRPr="00322379">
        <w:t xml:space="preserve"> past</w:t>
      </w:r>
      <w:r w:rsidR="00F01042" w:rsidRPr="00322379">
        <w:t xml:space="preserve"> its original length, </w:t>
      </w:r>
      <w:r w:rsidR="00B65F39">
        <w:t>suppressing any return of</w:t>
      </w:r>
      <w:r w:rsidR="00F01042" w:rsidRPr="00322379">
        <w:t xml:space="preserve"> the former antecedent. </w:t>
      </w:r>
      <w:r w:rsidRPr="00322379">
        <w:t>This formal surprise removes</w:t>
      </w:r>
      <w:r w:rsidR="00995A43" w:rsidRPr="00322379">
        <w:t xml:space="preserve"> all</w:t>
      </w:r>
      <w:r w:rsidRPr="00322379">
        <w:t xml:space="preserve"> the phrase-rhythmic surprises.</w:t>
      </w:r>
    </w:p>
    <w:p w14:paraId="3B8504E6" w14:textId="77777777" w:rsidR="00D51F26" w:rsidRDefault="00D51F26" w:rsidP="00C304F2"/>
    <w:p w14:paraId="3CFCB4CA" w14:textId="77777777" w:rsidR="00D51F26" w:rsidRDefault="00D51F26" w:rsidP="00D51F26">
      <w:r>
        <w:rPr>
          <w:b/>
          <w:bCs/>
        </w:rPr>
        <w:t>Example 5</w:t>
      </w:r>
      <w:r>
        <w:t xml:space="preserve"> Sergei Rachmaninoff, Prelude in G Minor, op. 23, no. 5, mm. 49–56.</w:t>
      </w:r>
    </w:p>
    <w:p w14:paraId="45B074C3" w14:textId="77777777" w:rsidR="00D51F26" w:rsidRPr="00C304F2" w:rsidRDefault="00D51F26" w:rsidP="00D51F26">
      <w:pPr>
        <w:rPr>
          <w:rFonts w:ascii="Garamond" w:eastAsia="Calibri" w:hAnsi="Garamond"/>
        </w:rPr>
      </w:pPr>
    </w:p>
    <w:p w14:paraId="1DE3E1EE" w14:textId="5B53DE53" w:rsidR="00E656AE" w:rsidRDefault="0081569B" w:rsidP="00C304F2">
      <w:r w:rsidRPr="00322379">
        <w:t xml:space="preserve">The recapitulation is completely regular </w:t>
      </w:r>
      <w:r w:rsidR="00AA490A">
        <w:t xml:space="preserve">at </w:t>
      </w:r>
      <w:r w:rsidRPr="00322379">
        <w:t>the level of four half</w:t>
      </w:r>
      <w:r w:rsidR="00AA490A">
        <w:t xml:space="preserve"> </w:t>
      </w:r>
      <w:r w:rsidRPr="00322379">
        <w:t xml:space="preserve">notes, an inexorable, rhythmically undisturbed drive toward the </w:t>
      </w:r>
      <w:r w:rsidR="00A34F68" w:rsidRPr="00322379">
        <w:t xml:space="preserve">tonic arrival </w:t>
      </w:r>
      <w:r w:rsidRPr="00322379">
        <w:t xml:space="preserve">at m. 72. </w:t>
      </w:r>
      <w:r w:rsidR="005C1BF4" w:rsidRPr="00322379">
        <w:t>The final cadence constitutes another formal conundrum. M</w:t>
      </w:r>
      <w:r w:rsidR="00144C8F">
        <w:t>easure</w:t>
      </w:r>
      <w:r w:rsidR="00144C8F" w:rsidRPr="00322379">
        <w:t xml:space="preserve"> </w:t>
      </w:r>
      <w:r w:rsidR="005C1BF4" w:rsidRPr="00322379">
        <w:t>70 is analogous to m. 25 in the A section; both suggest a</w:t>
      </w:r>
      <w:r w:rsidR="00144C8F">
        <w:t>n</w:t>
      </w:r>
      <w:r w:rsidR="005C1BF4" w:rsidRPr="00322379">
        <w:t xml:space="preserve"> HC before </w:t>
      </w:r>
      <w:r w:rsidR="005C1BF4" w:rsidRPr="00144C8F">
        <w:rPr>
          <w:i/>
          <w:iCs/>
        </w:rPr>
        <w:t>a</w:t>
      </w:r>
      <w:r w:rsidR="00144C8F">
        <w:t>′</w:t>
      </w:r>
      <w:r w:rsidR="005C1BF4" w:rsidRPr="00322379">
        <w:t xml:space="preserve"> begins on the tonic. </w:t>
      </w:r>
      <w:r w:rsidR="0079645E">
        <w:t>Although</w:t>
      </w:r>
      <w:r w:rsidR="0079645E" w:rsidRPr="00322379">
        <w:t xml:space="preserve"> </w:t>
      </w:r>
      <w:r w:rsidR="005C1BF4" w:rsidRPr="00322379">
        <w:t xml:space="preserve">it is possible to read a PAC </w:t>
      </w:r>
      <w:r w:rsidR="00967B80">
        <w:t xml:space="preserve">in m. 72 through </w:t>
      </w:r>
      <w:r w:rsidR="00967B80">
        <w:lastRenderedPageBreak/>
        <w:t xml:space="preserve">reinterpretation, </w:t>
      </w:r>
      <w:r w:rsidR="005C1BF4" w:rsidRPr="00322379">
        <w:t xml:space="preserve">retrospectively </w:t>
      </w:r>
      <w:r w:rsidR="003F08E0" w:rsidRPr="00322379">
        <w:t xml:space="preserve">denying </w:t>
      </w:r>
      <w:r w:rsidR="005C1BF4" w:rsidRPr="00322379">
        <w:t xml:space="preserve">the HC in </w:t>
      </w:r>
      <w:r w:rsidR="00967B80">
        <w:t xml:space="preserve">m. </w:t>
      </w:r>
      <w:r w:rsidR="005C1BF4" w:rsidRPr="00322379">
        <w:t>70</w:t>
      </w:r>
      <w:r w:rsidR="00967B80">
        <w:t>,</w:t>
      </w:r>
      <w:r w:rsidR="003F08E0" w:rsidRPr="006B000E">
        <w:rPr>
          <w:rStyle w:val="FootnoteReference"/>
        </w:rPr>
        <w:footnoteReference w:id="21"/>
      </w:r>
      <w:r w:rsidR="005C1BF4" w:rsidRPr="00322379">
        <w:t xml:space="preserve"> m. 80 is a stronger candidate for the final cadence in the </w:t>
      </w:r>
      <w:r w:rsidR="00967B80">
        <w:t xml:space="preserve">final </w:t>
      </w:r>
      <w:r w:rsidR="005C1BF4" w:rsidRPr="00967B80">
        <w:rPr>
          <w:i/>
          <w:iCs/>
        </w:rPr>
        <w:t>a</w:t>
      </w:r>
      <w:r w:rsidR="00967B80">
        <w:t>′</w:t>
      </w:r>
      <w:r w:rsidR="005C1BF4" w:rsidRPr="00322379">
        <w:t xml:space="preserve"> section. This point is preceded by a </w:t>
      </w:r>
      <w:r w:rsidR="00B9604D">
        <w:t>^</w:t>
      </w:r>
      <w:r w:rsidR="005C1BF4" w:rsidRPr="00322379">
        <w:t>6–</w:t>
      </w:r>
      <w:r w:rsidR="00B9604D">
        <w:t>^</w:t>
      </w:r>
      <w:r w:rsidR="005C1BF4" w:rsidRPr="00322379">
        <w:t>5–</w:t>
      </w:r>
      <w:r w:rsidR="00B9604D">
        <w:t>^</w:t>
      </w:r>
      <w:r w:rsidR="005C1BF4" w:rsidRPr="00322379">
        <w:t xml:space="preserve">1 bass line after seven measures of relative stasis, and it is followed by more harmonic stasis and by </w:t>
      </w:r>
      <w:r w:rsidR="0099770E">
        <w:t xml:space="preserve">a </w:t>
      </w:r>
      <w:r w:rsidR="005C1BF4" w:rsidRPr="00322379">
        <w:t>recessive dynamic.</w:t>
      </w:r>
    </w:p>
    <w:p w14:paraId="5E4A8BA0" w14:textId="77777777" w:rsidR="00C304F2" w:rsidRDefault="00C304F2" w:rsidP="00C304F2"/>
    <w:p w14:paraId="51EFD3CF" w14:textId="32AC0ABF" w:rsidR="0081569B" w:rsidRDefault="00B9604D" w:rsidP="001D46DA">
      <w:r>
        <w:t>A</w:t>
      </w:r>
      <w:r w:rsidR="0081569B" w:rsidRPr="00322379">
        <w:t xml:space="preserve"> final </w:t>
      </w:r>
      <w:r>
        <w:t>observation</w:t>
      </w:r>
      <w:r w:rsidRPr="00322379">
        <w:t xml:space="preserve"> </w:t>
      </w:r>
      <w:r w:rsidR="0081569B" w:rsidRPr="00322379">
        <w:t>about the recapitulation ties into the metrical questions of the beginning</w:t>
      </w:r>
      <w:r>
        <w:t>.</w:t>
      </w:r>
      <w:r w:rsidR="0081569B" w:rsidRPr="00322379">
        <w:t xml:space="preserve"> </w:t>
      </w:r>
      <w:r>
        <w:t>T</w:t>
      </w:r>
      <w:r w:rsidR="0081569B" w:rsidRPr="00322379">
        <w:t>he cadence of the retr</w:t>
      </w:r>
      <w:r w:rsidR="00F720AA" w:rsidRPr="00322379">
        <w:t>ansition</w:t>
      </w:r>
      <w:r w:rsidR="001D46DA" w:rsidRPr="00F052D9">
        <w:rPr>
          <w:rFonts w:ascii="Cambria Math" w:hAnsi="Cambria Math" w:cs="Cambria Math"/>
        </w:rPr>
        <w:t>⇒</w:t>
      </w:r>
      <w:r w:rsidR="0081569B" w:rsidRPr="001D46DA">
        <w:rPr>
          <w:i/>
          <w:iCs/>
        </w:rPr>
        <w:t>a</w:t>
      </w:r>
      <w:r w:rsidR="0081569B" w:rsidRPr="00322379">
        <w:t xml:space="preserve"> section, </w:t>
      </w:r>
      <w:r>
        <w:t xml:space="preserve">a </w:t>
      </w:r>
      <w:r w:rsidR="0081569B" w:rsidRPr="00322379">
        <w:t>PAC in m. 63</w:t>
      </w:r>
      <w:r>
        <w:t>,</w:t>
      </w:r>
      <w:r w:rsidR="0060579A">
        <w:t xml:space="preserve"> </w:t>
      </w:r>
      <w:r w:rsidR="0081569B" w:rsidRPr="00322379">
        <w:t xml:space="preserve">corresponds to the PAC in m. 16 in the </w:t>
      </w:r>
      <w:r w:rsidR="009A6156">
        <w:t>exposition</w:t>
      </w:r>
      <w:r w:rsidR="0081569B" w:rsidRPr="00322379">
        <w:t xml:space="preserve">, the focus of the phrase-rhythmic mysteries discussed earlier. </w:t>
      </w:r>
      <w:r w:rsidR="0081569B" w:rsidRPr="00313995">
        <w:rPr>
          <w:b/>
          <w:bCs/>
          <w:u w:val="single"/>
        </w:rPr>
        <w:t>Example</w:t>
      </w:r>
      <w:r w:rsidR="00F01042" w:rsidRPr="00313995">
        <w:rPr>
          <w:b/>
          <w:bCs/>
          <w:u w:val="single"/>
        </w:rPr>
        <w:t xml:space="preserve"> 6</w:t>
      </w:r>
      <w:r w:rsidR="0081569B" w:rsidRPr="00322379">
        <w:t xml:space="preserve"> </w:t>
      </w:r>
      <w:r w:rsidR="003853CD">
        <w:t xml:space="preserve">juxtaposes </w:t>
      </w:r>
      <w:r w:rsidR="0081569B" w:rsidRPr="00322379">
        <w:t>the two cadences for comparison. In m. 16, the half-note unit that contains the V–I cadential progression is notated as a strong beat, suggesting an end</w:t>
      </w:r>
      <w:r w:rsidR="007753F0">
        <w:t xml:space="preserve"> </w:t>
      </w:r>
      <w:r w:rsidR="0081569B" w:rsidRPr="00322379">
        <w:t>accent. In the recapitulatory m. 63, the corresponding unit fall</w:t>
      </w:r>
      <w:r w:rsidR="0057482F" w:rsidRPr="00322379">
        <w:t>s</w:t>
      </w:r>
      <w:r w:rsidR="0081569B" w:rsidRPr="00322379">
        <w:t xml:space="preserve"> on the weak part of the 4/4 measure, thus suggesting a beginning</w:t>
      </w:r>
      <w:r w:rsidR="007753F0">
        <w:t xml:space="preserve"> </w:t>
      </w:r>
      <w:r w:rsidR="0081569B" w:rsidRPr="00322379">
        <w:t xml:space="preserve">accent. True, the recapitulation contains enough changes to possibly hear these two </w:t>
      </w:r>
      <w:r w:rsidR="0081569B" w:rsidRPr="001A538A">
        <w:rPr>
          <w:i/>
          <w:iCs/>
        </w:rPr>
        <w:t>a</w:t>
      </w:r>
      <w:r w:rsidR="0081569B" w:rsidRPr="00322379">
        <w:t xml:space="preserve"> sections as largely unrelated. And yet, the PACs in </w:t>
      </w:r>
      <w:r w:rsidR="007C05DD">
        <w:t xml:space="preserve">m. </w:t>
      </w:r>
      <w:r w:rsidR="0081569B" w:rsidRPr="00322379">
        <w:t xml:space="preserve">16 and </w:t>
      </w:r>
      <w:r w:rsidR="007C05DD">
        <w:t xml:space="preserve">m. </w:t>
      </w:r>
      <w:r w:rsidR="0081569B" w:rsidRPr="00322379">
        <w:t xml:space="preserve">63 are </w:t>
      </w:r>
      <w:r w:rsidR="001F27B9">
        <w:t xml:space="preserve">associated by </w:t>
      </w:r>
      <w:r w:rsidR="0081569B" w:rsidRPr="00322379">
        <w:t xml:space="preserve">their analogous formal placement and rhythmic and harmonic similarity. This suggests that, after all, Rachmaninoff might have meant </w:t>
      </w:r>
      <w:r w:rsidR="0081569B" w:rsidRPr="00322379">
        <w:rPr>
          <w:i/>
          <w:iCs/>
        </w:rPr>
        <w:t>both</w:t>
      </w:r>
      <w:r w:rsidR="0081569B" w:rsidRPr="00322379">
        <w:t xml:space="preserve"> these cadential segments as metrically weak, and their corresponding phrase beginnings as strong, in spite of his bar</w:t>
      </w:r>
      <w:r w:rsidR="00FD5372" w:rsidRPr="00322379">
        <w:t>-line placement</w:t>
      </w:r>
      <w:r w:rsidR="0081569B" w:rsidRPr="00322379">
        <w:t xml:space="preserve"> </w:t>
      </w:r>
      <w:r w:rsidR="00FD5372" w:rsidRPr="00322379">
        <w:t>in</w:t>
      </w:r>
      <w:r w:rsidR="0081569B" w:rsidRPr="00322379">
        <w:t xml:space="preserve"> the opening section. This, in turn, supports my </w:t>
      </w:r>
      <w:r>
        <w:t>contention</w:t>
      </w:r>
      <w:r w:rsidR="0081569B" w:rsidRPr="00322379">
        <w:t xml:space="preserve"> that the “real” anomalous 2/4 measure should occur at the end of the brief thematic introduction, around notated </w:t>
      </w:r>
      <w:r w:rsidR="004A3511">
        <w:t xml:space="preserve">m. </w:t>
      </w:r>
      <w:r w:rsidR="0081569B" w:rsidRPr="00322379">
        <w:t xml:space="preserve">3 and </w:t>
      </w:r>
      <w:r w:rsidR="004A3511">
        <w:t xml:space="preserve">m. </w:t>
      </w:r>
      <w:r w:rsidR="0081569B" w:rsidRPr="00322379">
        <w:t xml:space="preserve">12, and </w:t>
      </w:r>
      <w:r w:rsidR="0081569B" w:rsidRPr="00322379">
        <w:rPr>
          <w:i/>
          <w:iCs/>
        </w:rPr>
        <w:t>not</w:t>
      </w:r>
      <w:r w:rsidR="0081569B" w:rsidRPr="00322379">
        <w:t xml:space="preserve"> where the composer notates them! </w:t>
      </w:r>
      <w:r w:rsidR="007E4A84" w:rsidRPr="00322379">
        <w:t xml:space="preserve">One might perhaps see m. 63 as the answer to the questions posed by the initial </w:t>
      </w:r>
      <w:r w:rsidR="007E4A84" w:rsidRPr="00322379">
        <w:lastRenderedPageBreak/>
        <w:t>section: how the accents are arranged within the structural period, and how they interact with the extra beat, the resulting metrical reinterpretations, and the anomalous 2/4 measure.</w:t>
      </w:r>
    </w:p>
    <w:p w14:paraId="76F51ED2" w14:textId="52B9E6C2" w:rsidR="00E656AE" w:rsidRDefault="00E656AE" w:rsidP="00D76451"/>
    <w:p w14:paraId="62B4F87A" w14:textId="58F4F3AA" w:rsidR="00D76451" w:rsidRPr="00D76451" w:rsidRDefault="00D76451" w:rsidP="00D76451">
      <w:r>
        <w:rPr>
          <w:b/>
          <w:bCs/>
        </w:rPr>
        <w:t xml:space="preserve">Example 6 </w:t>
      </w:r>
      <w:r>
        <w:t xml:space="preserve">Sergei Rachmaninoff, </w:t>
      </w:r>
      <w:r w:rsidR="006C63FB">
        <w:t>Prelude in G Minor, op. 23, no. 5: (a) mm. 15–16; (b) mm. 62–63.</w:t>
      </w:r>
    </w:p>
    <w:p w14:paraId="3EAEB3EC" w14:textId="77777777" w:rsidR="00D76451" w:rsidRPr="00322379" w:rsidRDefault="00D76451" w:rsidP="00D76451"/>
    <w:p w14:paraId="19F34726" w14:textId="1B8EF2FC" w:rsidR="00563EF6" w:rsidRDefault="0081569B" w:rsidP="005410CD">
      <w:pPr>
        <w:rPr>
          <w:rFonts w:ascii="Garamond" w:hAnsi="Garamond"/>
        </w:rPr>
      </w:pPr>
      <w:r w:rsidRPr="00322379">
        <w:t xml:space="preserve">In summary, I have argued that </w:t>
      </w:r>
      <w:r w:rsidR="007E4A84" w:rsidRPr="00322379">
        <w:t>the opening of the G-</w:t>
      </w:r>
      <w:r w:rsidR="007816B2">
        <w:t>M</w:t>
      </w:r>
      <w:r w:rsidR="007816B2" w:rsidRPr="00322379">
        <w:t xml:space="preserve">inor </w:t>
      </w:r>
      <w:r w:rsidR="007816B2">
        <w:t>P</w:t>
      </w:r>
      <w:r w:rsidR="007816B2" w:rsidRPr="00322379">
        <w:t xml:space="preserve">relude </w:t>
      </w:r>
      <w:r w:rsidR="007E4A84" w:rsidRPr="00322379">
        <w:t>contains a</w:t>
      </w:r>
      <w:r w:rsidR="00AE7E5D">
        <w:t xml:space="preserve"> </w:t>
      </w:r>
      <w:r w:rsidR="007E4A84" w:rsidRPr="00322379">
        <w:t>regular period</w:t>
      </w:r>
      <w:r w:rsidR="00AE7E5D">
        <w:t>, partially concealed</w:t>
      </w:r>
      <w:r w:rsidR="007E4A84" w:rsidRPr="00322379">
        <w:t xml:space="preserve">; that </w:t>
      </w:r>
      <w:r w:rsidRPr="00322379">
        <w:t>the extra half</w:t>
      </w:r>
      <w:r w:rsidR="00AE7E5D">
        <w:t xml:space="preserve"> </w:t>
      </w:r>
      <w:r w:rsidRPr="00322379">
        <w:t>note occurs in the two local introductions within th</w:t>
      </w:r>
      <w:r w:rsidR="007E4A84" w:rsidRPr="00322379">
        <w:t>is</w:t>
      </w:r>
      <w:r w:rsidRPr="00322379">
        <w:t xml:space="preserve"> period</w:t>
      </w:r>
      <w:r w:rsidR="007E4A84" w:rsidRPr="00322379">
        <w:t>;</w:t>
      </w:r>
      <w:r w:rsidRPr="00322379">
        <w:t xml:space="preserve"> that the comparison of sections A and A</w:t>
      </w:r>
      <w:r w:rsidR="00B9604D">
        <w:t>′</w:t>
      </w:r>
      <w:r w:rsidRPr="00322379">
        <w:t xml:space="preserve"> suggest</w:t>
      </w:r>
      <w:r w:rsidR="00D54221">
        <w:t>s</w:t>
      </w:r>
      <w:r w:rsidRPr="00322379">
        <w:t xml:space="preserve"> a change of </w:t>
      </w:r>
      <w:r w:rsidR="00D54221">
        <w:t xml:space="preserve">perceived </w:t>
      </w:r>
      <w:r w:rsidRPr="00322379">
        <w:t xml:space="preserve">time signature in m. 3 and </w:t>
      </w:r>
      <w:r w:rsidR="00D54221">
        <w:t xml:space="preserve">m. </w:t>
      </w:r>
      <w:r w:rsidRPr="00322379">
        <w:t>11</w:t>
      </w:r>
      <w:r w:rsidR="00D54221">
        <w:t>,</w:t>
      </w:r>
      <w:r w:rsidRPr="00322379">
        <w:t xml:space="preserve"> as opposed to </w:t>
      </w:r>
      <w:r w:rsidR="00D54221">
        <w:t xml:space="preserve">m. </w:t>
      </w:r>
      <w:r w:rsidRPr="00322379">
        <w:t xml:space="preserve">9 and </w:t>
      </w:r>
      <w:r w:rsidR="00D54221">
        <w:t xml:space="preserve">m. </w:t>
      </w:r>
      <w:r w:rsidRPr="00322379">
        <w:t>16</w:t>
      </w:r>
      <w:r w:rsidR="007E4A84" w:rsidRPr="00322379">
        <w:t>;</w:t>
      </w:r>
      <w:r w:rsidRPr="00322379">
        <w:t xml:space="preserve"> and that this metrical disturbance </w:t>
      </w:r>
      <w:r w:rsidR="006D4538">
        <w:t xml:space="preserve">disappears </w:t>
      </w:r>
      <w:r w:rsidRPr="00322379">
        <w:t xml:space="preserve">in the recapitulation </w:t>
      </w:r>
      <w:r w:rsidR="006D4538">
        <w:t xml:space="preserve">because of </w:t>
      </w:r>
      <w:r w:rsidRPr="00322379">
        <w:t xml:space="preserve">the dissolution of the initial structural period. </w:t>
      </w:r>
      <w:r w:rsidR="00033699" w:rsidRPr="00322379">
        <w:t xml:space="preserve">In conclusion, I wish to </w:t>
      </w:r>
      <w:r w:rsidR="007E4A84" w:rsidRPr="00322379">
        <w:t>emphasize</w:t>
      </w:r>
      <w:r w:rsidR="00033699" w:rsidRPr="00322379">
        <w:t xml:space="preserve"> that, in many cases, form, phrase rhythm, and meter cannot be fully understood </w:t>
      </w:r>
      <w:r w:rsidR="00033699" w:rsidRPr="00D465C4">
        <w:t xml:space="preserve">without each other, and </w:t>
      </w:r>
      <w:r w:rsidR="007E4A84" w:rsidRPr="00D465C4">
        <w:t>Rachmaninoff’s</w:t>
      </w:r>
      <w:r w:rsidR="00033699" w:rsidRPr="00D465C4">
        <w:t xml:space="preserve"> prelude is a good illustration of this interconnection. </w:t>
      </w:r>
      <w:bookmarkEnd w:id="1"/>
      <w:r w:rsidR="008A1294">
        <w:t>This interconnection</w:t>
      </w:r>
      <w:r w:rsidR="007A6C56" w:rsidRPr="005410CD">
        <w:t xml:space="preserve"> also foregrounds the various interpretive possibilities: where to place the primary </w:t>
      </w:r>
      <w:r w:rsidR="00D465C4">
        <w:t xml:space="preserve">metrical </w:t>
      </w:r>
      <w:r w:rsidR="007A6C56" w:rsidRPr="005410CD">
        <w:t>accent</w:t>
      </w:r>
      <w:r w:rsidR="00D465C4">
        <w:t xml:space="preserve">; </w:t>
      </w:r>
      <w:r w:rsidR="008D539F">
        <w:t xml:space="preserve">what is the essential thematic material, and which criteria determine this; </w:t>
      </w:r>
      <w:r w:rsidR="000E26BE">
        <w:t xml:space="preserve">what role symmetry plays at deeper levels of the formal hierarchy; and how all these aspects change over the large form of the prelude. </w:t>
      </w:r>
      <w:r w:rsidR="00F3528D">
        <w:t xml:space="preserve">Ultimately, the complexity of these </w:t>
      </w:r>
      <w:r w:rsidR="008A1294">
        <w:t>interpretations impart expressive depth</w:t>
      </w:r>
      <w:r w:rsidR="000E6B03">
        <w:t xml:space="preserve"> to the music, which at first glance may </w:t>
      </w:r>
      <w:r w:rsidR="00C571F2">
        <w:t>be perceived</w:t>
      </w:r>
      <w:r w:rsidR="00E44981">
        <w:t xml:space="preserve"> as the result of the sheer pianist</w:t>
      </w:r>
      <w:r w:rsidR="00A47110">
        <w:t>ic</w:t>
      </w:r>
      <w:r w:rsidR="00E44981">
        <w:t xml:space="preserve"> energy of the</w:t>
      </w:r>
      <w:r w:rsidR="004A4313">
        <w:t xml:space="preserve"> material.</w:t>
      </w:r>
      <w:r w:rsidR="00563EF6">
        <w:rPr>
          <w:rFonts w:ascii="Garamond" w:hAnsi="Garamond"/>
        </w:rPr>
        <w:br w:type="page"/>
      </w:r>
    </w:p>
    <w:p w14:paraId="0456F571" w14:textId="40F1DE8B" w:rsidR="002232B7" w:rsidRDefault="002F230B" w:rsidP="00563EF6">
      <w:pPr>
        <w:pStyle w:val="Heading1"/>
      </w:pPr>
      <w:r w:rsidRPr="00322379">
        <w:lastRenderedPageBreak/>
        <w:t>Works Cited</w:t>
      </w:r>
    </w:p>
    <w:p w14:paraId="28B73975" w14:textId="57D00B46" w:rsidR="00B11742" w:rsidRPr="00322379" w:rsidRDefault="00B11742" w:rsidP="00F56EAD">
      <w:pPr>
        <w:ind w:left="720" w:hanging="720"/>
      </w:pPr>
      <w:r w:rsidRPr="00322379">
        <w:t xml:space="preserve">Bakulina, Ellen. 2015. </w:t>
      </w:r>
      <w:r w:rsidR="00BB7DA3">
        <w:t>“</w:t>
      </w:r>
      <w:r w:rsidR="001C314B" w:rsidRPr="00322379">
        <w:t>The Problem of Tonal Disunity in Serge</w:t>
      </w:r>
      <w:r w:rsidR="00BB7DA3">
        <w:t>ĭ</w:t>
      </w:r>
      <w:r w:rsidR="001C314B" w:rsidRPr="00322379">
        <w:t xml:space="preserve"> Rachmaninoff’s </w:t>
      </w:r>
      <w:r w:rsidR="001C314B" w:rsidRPr="00BB7DA3">
        <w:rPr>
          <w:i/>
          <w:iCs/>
        </w:rPr>
        <w:t>All-Night Vigil</w:t>
      </w:r>
      <w:r w:rsidR="001C314B" w:rsidRPr="00322379">
        <w:t xml:space="preserve">, </w:t>
      </w:r>
      <w:r w:rsidR="00BB7DA3">
        <w:t>O</w:t>
      </w:r>
      <w:r w:rsidR="001C314B" w:rsidRPr="00322379">
        <w:t>p. 37.</w:t>
      </w:r>
      <w:r w:rsidR="00BB7DA3">
        <w:t>”</w:t>
      </w:r>
      <w:r w:rsidR="001C314B" w:rsidRPr="00322379">
        <w:t xml:space="preserve"> PhD diss., City University of New York. </w:t>
      </w:r>
    </w:p>
    <w:p w14:paraId="3FB58F4B" w14:textId="273A3E0C" w:rsidR="004D1DBC" w:rsidRPr="00322379" w:rsidRDefault="00A34E5A" w:rsidP="00F56EAD">
      <w:pPr>
        <w:ind w:left="720" w:hanging="720"/>
      </w:pPr>
      <w:r>
        <w:t xml:space="preserve">Bakulina, Ellen. </w:t>
      </w:r>
      <w:r w:rsidR="00C228D7" w:rsidRPr="00322379">
        <w:t xml:space="preserve">2020. </w:t>
      </w:r>
      <w:r>
        <w:t>“</w:t>
      </w:r>
      <w:r w:rsidR="00C228D7" w:rsidRPr="00322379">
        <w:t xml:space="preserve">The Loosening of Closure: </w:t>
      </w:r>
      <w:r>
        <w:t>A</w:t>
      </w:r>
      <w:r w:rsidR="00C228D7" w:rsidRPr="00322379">
        <w:t xml:space="preserve"> Form-Functional Study of Sergei Rachmaninoff’s Solo Songs.</w:t>
      </w:r>
      <w:r>
        <w:t>”</w:t>
      </w:r>
      <w:r w:rsidR="00C228D7" w:rsidRPr="00322379">
        <w:t> </w:t>
      </w:r>
      <w:r w:rsidR="00C228D7" w:rsidRPr="00A34E5A">
        <w:rPr>
          <w:i/>
          <w:iCs/>
        </w:rPr>
        <w:t>Theory and Practice</w:t>
      </w:r>
      <w:r w:rsidR="00C228D7" w:rsidRPr="00322379">
        <w:t> 45: 51–92.</w:t>
      </w:r>
    </w:p>
    <w:p w14:paraId="087D96BE" w14:textId="5D512670" w:rsidR="000E0ADF" w:rsidRDefault="002232B7" w:rsidP="00F56EAD">
      <w:pPr>
        <w:ind w:left="720" w:hanging="720"/>
      </w:pPr>
      <w:r w:rsidRPr="00322379">
        <w:t>Burstein, L. Poundie</w:t>
      </w:r>
      <w:r w:rsidR="006D3FE7">
        <w:t xml:space="preserve">, Quynh Nguyen, and </w:t>
      </w:r>
      <w:r w:rsidR="00655EB4">
        <w:t>Jennifer Roderer</w:t>
      </w:r>
      <w:r w:rsidRPr="00322379">
        <w:t xml:space="preserve">. 2024. “The Best Laid Plans . . . and Others: An 18th-Century Compositional Outline.” </w:t>
      </w:r>
      <w:r w:rsidRPr="00655EB4">
        <w:rPr>
          <w:i/>
          <w:iCs/>
        </w:rPr>
        <w:t>SMT-V</w:t>
      </w:r>
      <w:r w:rsidRPr="00322379">
        <w:t xml:space="preserve"> 10</w:t>
      </w:r>
      <w:r w:rsidR="00D81766">
        <w:t xml:space="preserve"> (</w:t>
      </w:r>
      <w:r w:rsidRPr="00322379">
        <w:t>1</w:t>
      </w:r>
      <w:r w:rsidR="00D81766">
        <w:t>).</w:t>
      </w:r>
    </w:p>
    <w:p w14:paraId="15F191CC" w14:textId="19DC680D" w:rsidR="002232B7" w:rsidRPr="00322379" w:rsidRDefault="00D16016" w:rsidP="00F56EAD">
      <w:pPr>
        <w:ind w:left="720" w:hanging="720"/>
      </w:pPr>
      <w:r w:rsidRPr="00322379">
        <w:t xml:space="preserve">Caplin, William E. 1998. </w:t>
      </w:r>
      <w:r w:rsidRPr="003E4CE8">
        <w:rPr>
          <w:i/>
          <w:iCs/>
        </w:rPr>
        <w:t>Classical F</w:t>
      </w:r>
      <w:r w:rsidR="003E4CE8" w:rsidRPr="003E4CE8">
        <w:rPr>
          <w:i/>
          <w:iCs/>
        </w:rPr>
        <w:t>or</w:t>
      </w:r>
      <w:r w:rsidRPr="003E4CE8">
        <w:rPr>
          <w:i/>
          <w:iCs/>
        </w:rPr>
        <w:t>m: A Theory of Formal Function</w:t>
      </w:r>
      <w:r w:rsidR="003E4CE8" w:rsidRPr="003E4CE8">
        <w:rPr>
          <w:i/>
          <w:iCs/>
        </w:rPr>
        <w:t>s</w:t>
      </w:r>
      <w:r w:rsidRPr="003E4CE8">
        <w:rPr>
          <w:i/>
          <w:iCs/>
        </w:rPr>
        <w:t xml:space="preserve"> for the Instrumental Music of Haydn, Mozart, and Beethoven.</w:t>
      </w:r>
      <w:r w:rsidRPr="00322379">
        <w:t xml:space="preserve"> Oxford University Press. </w:t>
      </w:r>
    </w:p>
    <w:p w14:paraId="70D8EC8D" w14:textId="482031D4" w:rsidR="002232B7" w:rsidRPr="00322379" w:rsidRDefault="003E4CE8" w:rsidP="00F56EAD">
      <w:pPr>
        <w:ind w:left="720" w:hanging="720"/>
      </w:pPr>
      <w:r>
        <w:t>Caplin, William E</w:t>
      </w:r>
      <w:r w:rsidR="00D16016" w:rsidRPr="00322379">
        <w:t xml:space="preserve">. </w:t>
      </w:r>
      <w:r w:rsidR="002232B7" w:rsidRPr="00322379">
        <w:t>2013. </w:t>
      </w:r>
      <w:r w:rsidR="002232B7" w:rsidRPr="00D96D9D">
        <w:rPr>
          <w:i/>
          <w:iCs/>
        </w:rPr>
        <w:t>Analyzing Classical Form: An Approach for the Classroom.</w:t>
      </w:r>
      <w:r w:rsidR="002232B7" w:rsidRPr="00322379">
        <w:t xml:space="preserve"> Oxford University Press.</w:t>
      </w:r>
    </w:p>
    <w:p w14:paraId="3DABA52D" w14:textId="5F9351D4" w:rsidR="002232B7" w:rsidRPr="00322379" w:rsidRDefault="002232B7" w:rsidP="00F56EAD">
      <w:pPr>
        <w:ind w:left="720" w:hanging="720"/>
      </w:pPr>
      <w:r w:rsidRPr="00322379">
        <w:t>Grave, Floyd</w:t>
      </w:r>
      <w:r w:rsidR="00D96D9D">
        <w:t xml:space="preserve"> K</w:t>
      </w:r>
      <w:r w:rsidRPr="00322379">
        <w:t>. 1985. “Metrical Displacement and the Compound Measure in Eighteenth-Century Theory and Practice.” </w:t>
      </w:r>
      <w:r w:rsidRPr="00D96D9D">
        <w:rPr>
          <w:i/>
          <w:iCs/>
        </w:rPr>
        <w:t>Theoria</w:t>
      </w:r>
      <w:r w:rsidRPr="00322379">
        <w:t xml:space="preserve"> 1: 25–60. </w:t>
      </w:r>
    </w:p>
    <w:p w14:paraId="5C668B60" w14:textId="4BA68BE3" w:rsidR="002232B7" w:rsidRDefault="002232B7" w:rsidP="00F56EAD">
      <w:pPr>
        <w:ind w:left="720" w:hanging="720"/>
      </w:pPr>
      <w:r w:rsidRPr="00322379">
        <w:t>Horton</w:t>
      </w:r>
      <w:r w:rsidR="00D82535" w:rsidRPr="00322379">
        <w:t>, Julian.</w:t>
      </w:r>
      <w:r w:rsidRPr="00322379">
        <w:t xml:space="preserve"> 2015.</w:t>
      </w:r>
      <w:r w:rsidR="00D82535" w:rsidRPr="00322379">
        <w:t xml:space="preserve"> “Formal Type and Formal Function in the Pos</w:t>
      </w:r>
      <w:r w:rsidR="00503F8E" w:rsidRPr="00322379">
        <w:t>t</w:t>
      </w:r>
      <w:r w:rsidR="004A5438">
        <w:t>c</w:t>
      </w:r>
      <w:r w:rsidR="00D82535" w:rsidRPr="00322379">
        <w:t xml:space="preserve">lassical Piano Concerto.” In </w:t>
      </w:r>
      <w:r w:rsidR="00D82535" w:rsidRPr="00A72FDE">
        <w:rPr>
          <w:i/>
          <w:iCs/>
        </w:rPr>
        <w:t>Formal Functions in Perspective: Essays on Music Form from Haydn to Adorno</w:t>
      </w:r>
      <w:r w:rsidR="00D82535" w:rsidRPr="00322379">
        <w:t>, ed</w:t>
      </w:r>
      <w:r w:rsidR="00D81766">
        <w:t>ited by</w:t>
      </w:r>
      <w:r w:rsidR="00D82535" w:rsidRPr="00322379">
        <w:t xml:space="preserve"> S</w:t>
      </w:r>
      <w:r w:rsidR="00203174" w:rsidRPr="00322379">
        <w:t>t</w:t>
      </w:r>
      <w:r w:rsidR="00D82535" w:rsidRPr="00322379">
        <w:t>even Vande Moortele, Julie Pedneault-Deslauriers, and Nathan John Martin</w:t>
      </w:r>
      <w:r w:rsidR="00D81766">
        <w:t>,</w:t>
      </w:r>
      <w:r w:rsidR="00D82535" w:rsidRPr="00322379">
        <w:t xml:space="preserve"> 77–122. </w:t>
      </w:r>
      <w:r w:rsidR="00D81766">
        <w:t>University of Rochester Press.</w:t>
      </w:r>
    </w:p>
    <w:p w14:paraId="02C44706" w14:textId="3AECC03B" w:rsidR="002C445C" w:rsidRPr="005410CD" w:rsidRDefault="00BA4579" w:rsidP="00C72C3C">
      <w:pPr>
        <w:ind w:left="720" w:hanging="720"/>
        <w:rPr>
          <w:lang w:val="en-CA"/>
        </w:rPr>
      </w:pPr>
      <w:r>
        <w:t xml:space="preserve">Hutchinson, Kyle, and Matthew Poon. </w:t>
      </w:r>
      <w:r w:rsidR="00BB5CE9">
        <w:t>2022. “</w:t>
      </w:r>
      <w:r w:rsidR="00BB5CE9" w:rsidRPr="00BB5CE9">
        <w:rPr>
          <w:lang w:val="en-CA"/>
        </w:rPr>
        <w:t>Cadential Melodies: Form-Functional Taxonomy and the Role of the Upper Voice</w:t>
      </w:r>
      <w:r w:rsidR="00BB5CE9">
        <w:rPr>
          <w:lang w:val="en-CA"/>
        </w:rPr>
        <w:t xml:space="preserve">.” </w:t>
      </w:r>
      <w:r w:rsidR="00BB5CE9" w:rsidRPr="005410CD">
        <w:rPr>
          <w:i/>
          <w:iCs/>
          <w:lang w:val="en-CA"/>
        </w:rPr>
        <w:t>Music Theory Online</w:t>
      </w:r>
      <w:r w:rsidR="00BB5CE9">
        <w:rPr>
          <w:lang w:val="en-CA"/>
        </w:rPr>
        <w:t xml:space="preserve"> </w:t>
      </w:r>
      <w:r w:rsidR="002C445C">
        <w:rPr>
          <w:lang w:val="en-CA"/>
        </w:rPr>
        <w:t>28</w:t>
      </w:r>
      <w:r w:rsidR="00C72C3C">
        <w:rPr>
          <w:lang w:val="en-CA"/>
        </w:rPr>
        <w:t xml:space="preserve"> (</w:t>
      </w:r>
      <w:r w:rsidR="002C445C">
        <w:rPr>
          <w:lang w:val="en-CA"/>
        </w:rPr>
        <w:t>2</w:t>
      </w:r>
      <w:r w:rsidR="00C72C3C">
        <w:rPr>
          <w:lang w:val="en-CA"/>
        </w:rPr>
        <w:t>)</w:t>
      </w:r>
      <w:r w:rsidR="002C445C">
        <w:rPr>
          <w:lang w:val="en-CA"/>
        </w:rPr>
        <w:t>.</w:t>
      </w:r>
      <w:r w:rsidR="00C72C3C">
        <w:rPr>
          <w:lang w:val="en-CA"/>
        </w:rPr>
        <w:t xml:space="preserve"> </w:t>
      </w:r>
      <w:hyperlink r:id="rId8" w:history="1">
        <w:r w:rsidR="00897584" w:rsidRPr="007C6B79">
          <w:rPr>
            <w:rStyle w:val="Hyperlink"/>
            <w:lang w:val="en-CA"/>
          </w:rPr>
          <w:t>https://www.mtosmt.org/issues/mto.22.28.2/mto.22.28.2.hutchinsonpoon.html</w:t>
        </w:r>
      </w:hyperlink>
      <w:r w:rsidR="002C445C">
        <w:rPr>
          <w:lang w:val="en-CA"/>
        </w:rPr>
        <w:t xml:space="preserve"> </w:t>
      </w:r>
    </w:p>
    <w:p w14:paraId="7605C26A" w14:textId="16F93993" w:rsidR="002232B7" w:rsidRPr="00322379" w:rsidRDefault="002232B7" w:rsidP="00F56EAD">
      <w:pPr>
        <w:ind w:left="720" w:hanging="720"/>
      </w:pPr>
      <w:r w:rsidRPr="00322379">
        <w:t>Imbrie, Andrew. 1973. “Extra Measures and Metrical Ambiguity in Beethoven.” In </w:t>
      </w:r>
      <w:r w:rsidRPr="00C84682">
        <w:rPr>
          <w:i/>
          <w:iCs/>
        </w:rPr>
        <w:t>Beethoven Studies</w:t>
      </w:r>
      <w:r w:rsidRPr="00322379">
        <w:t>, ed</w:t>
      </w:r>
      <w:r w:rsidR="00D81766">
        <w:t>ited by</w:t>
      </w:r>
      <w:r w:rsidRPr="00322379">
        <w:t xml:space="preserve"> Alan Tyson</w:t>
      </w:r>
      <w:r w:rsidR="00D81766">
        <w:t>,</w:t>
      </w:r>
      <w:r w:rsidRPr="00322379">
        <w:t xml:space="preserve"> 45–66.</w:t>
      </w:r>
      <w:r w:rsidR="00D82535" w:rsidRPr="00322379">
        <w:t xml:space="preserve"> Norton. </w:t>
      </w:r>
    </w:p>
    <w:p w14:paraId="38A6D2A8" w14:textId="28F0994D" w:rsidR="002232B7" w:rsidRPr="00322379" w:rsidRDefault="002232B7" w:rsidP="00F56EAD">
      <w:pPr>
        <w:ind w:left="720" w:hanging="720"/>
      </w:pPr>
      <w:r w:rsidRPr="00322379">
        <w:t xml:space="preserve">Kholopova, Valentina. 1979. </w:t>
      </w:r>
      <w:r w:rsidRPr="00E80D29">
        <w:rPr>
          <w:i/>
          <w:iCs/>
        </w:rPr>
        <w:t>Faktura.</w:t>
      </w:r>
      <w:r w:rsidRPr="00322379">
        <w:t xml:space="preserve"> Sovetskiy </w:t>
      </w:r>
      <w:r w:rsidR="00E80D29">
        <w:t>k</w:t>
      </w:r>
      <w:r w:rsidRPr="00322379">
        <w:t xml:space="preserve">ompozitor.  </w:t>
      </w:r>
    </w:p>
    <w:p w14:paraId="29B8C836" w14:textId="1C70DCEF" w:rsidR="005D463B" w:rsidRPr="00322379" w:rsidRDefault="002232B7" w:rsidP="00F56EAD">
      <w:pPr>
        <w:ind w:left="720" w:hanging="720"/>
      </w:pPr>
      <w:r w:rsidRPr="00322379">
        <w:lastRenderedPageBreak/>
        <w:t>Lerdahl, Fred, and Ray Jackendoff. 1983. </w:t>
      </w:r>
      <w:r w:rsidRPr="00C82279">
        <w:rPr>
          <w:i/>
          <w:iCs/>
        </w:rPr>
        <w:t>A Generative Theory of Tonal Music.</w:t>
      </w:r>
      <w:r w:rsidRPr="00322379">
        <w:t xml:space="preserve"> MIT Press.</w:t>
      </w:r>
    </w:p>
    <w:p w14:paraId="7E0AF166" w14:textId="2616BE82" w:rsidR="00FC731B" w:rsidRDefault="00FC731B" w:rsidP="00F56EAD">
      <w:pPr>
        <w:ind w:left="720" w:hanging="720"/>
      </w:pPr>
      <w:r w:rsidRPr="00322379">
        <w:t xml:space="preserve">London, Justin. 2012. </w:t>
      </w:r>
      <w:r w:rsidRPr="00C82279">
        <w:rPr>
          <w:i/>
          <w:iCs/>
        </w:rPr>
        <w:t xml:space="preserve">Hearing </w:t>
      </w:r>
      <w:r w:rsidR="00C82279">
        <w:rPr>
          <w:i/>
          <w:iCs/>
        </w:rPr>
        <w:t>i</w:t>
      </w:r>
      <w:r w:rsidRPr="00C82279">
        <w:rPr>
          <w:i/>
          <w:iCs/>
        </w:rPr>
        <w:t>n Time: Psychological Aspects of Musical Meter.</w:t>
      </w:r>
      <w:r w:rsidRPr="00322379">
        <w:t xml:space="preserve"> </w:t>
      </w:r>
      <w:r w:rsidR="006569AD">
        <w:t>2nd</w:t>
      </w:r>
      <w:r w:rsidRPr="00322379">
        <w:t xml:space="preserve"> edition. Oxford University Press.</w:t>
      </w:r>
    </w:p>
    <w:p w14:paraId="2A9657EB" w14:textId="77777777" w:rsidR="0071495C" w:rsidRPr="00322379" w:rsidRDefault="0071495C" w:rsidP="0071495C">
      <w:pPr>
        <w:ind w:left="720" w:hanging="720"/>
      </w:pPr>
      <w:r>
        <w:t>Rothstein, William</w:t>
      </w:r>
      <w:r w:rsidRPr="00322379">
        <w:t xml:space="preserve">. </w:t>
      </w:r>
      <w:r>
        <w:t xml:space="preserve">[1989] </w:t>
      </w:r>
      <w:r w:rsidRPr="00322379">
        <w:t xml:space="preserve">2007. </w:t>
      </w:r>
      <w:r w:rsidRPr="00734869">
        <w:rPr>
          <w:i/>
          <w:iCs/>
        </w:rPr>
        <w:t>Phrase Rhythm in Tonal Music.</w:t>
      </w:r>
      <w:r w:rsidRPr="00322379">
        <w:t xml:space="preserve"> Musicalia.</w:t>
      </w:r>
    </w:p>
    <w:p w14:paraId="62EADF6A" w14:textId="2CE97CF7" w:rsidR="00D16016" w:rsidRPr="00322379" w:rsidRDefault="002232B7" w:rsidP="00F56EAD">
      <w:pPr>
        <w:ind w:left="720" w:hanging="720"/>
      </w:pPr>
      <w:r w:rsidRPr="00322379">
        <w:t xml:space="preserve">Rothstein, William. </w:t>
      </w:r>
      <w:r w:rsidR="00D16016" w:rsidRPr="00322379">
        <w:t xml:space="preserve">1995. “Beethoven </w:t>
      </w:r>
      <w:r w:rsidR="00CF5757">
        <w:t>W</w:t>
      </w:r>
      <w:r w:rsidR="00D16016" w:rsidRPr="00322379">
        <w:t xml:space="preserve">ith and </w:t>
      </w:r>
      <w:r w:rsidR="00CF5757">
        <w:t>W</w:t>
      </w:r>
      <w:r w:rsidR="00D16016" w:rsidRPr="00322379">
        <w:t xml:space="preserve">ithout </w:t>
      </w:r>
      <w:r w:rsidR="00D16016" w:rsidRPr="0024160C">
        <w:rPr>
          <w:i/>
          <w:iCs/>
        </w:rPr>
        <w:t>Kunstgepräng</w:t>
      </w:r>
      <w:r w:rsidR="0024160C">
        <w:rPr>
          <w:i/>
          <w:iCs/>
        </w:rPr>
        <w:t>’</w:t>
      </w:r>
      <w:r w:rsidR="00D16016" w:rsidRPr="00322379">
        <w:t>: Metrical Ambiguity</w:t>
      </w:r>
      <w:r w:rsidR="00D90C4B">
        <w:t xml:space="preserve"> </w:t>
      </w:r>
      <w:r w:rsidR="00D16016" w:rsidRPr="00322379">
        <w:t xml:space="preserve">Reconsidered.” In </w:t>
      </w:r>
      <w:r w:rsidR="00D16016" w:rsidRPr="005534A3">
        <w:rPr>
          <w:i/>
          <w:iCs/>
        </w:rPr>
        <w:t>Beethoven Forum 4</w:t>
      </w:r>
      <w:r w:rsidR="00D16016" w:rsidRPr="00322379">
        <w:t>, ed</w:t>
      </w:r>
      <w:r w:rsidR="00E45274">
        <w:t>ited by</w:t>
      </w:r>
      <w:r w:rsidR="00D16016" w:rsidRPr="00322379">
        <w:t xml:space="preserve"> Lewis Lockwood and James Webster</w:t>
      </w:r>
      <w:r w:rsidR="00A55666">
        <w:t>, 165–93</w:t>
      </w:r>
      <w:r w:rsidR="00D16016" w:rsidRPr="00322379">
        <w:t xml:space="preserve">. </w:t>
      </w:r>
      <w:r w:rsidR="005534A3">
        <w:t>University of Nebraska Press.</w:t>
      </w:r>
    </w:p>
    <w:p w14:paraId="6EF8D8A9" w14:textId="716F0B5E" w:rsidR="002232B7" w:rsidRPr="00322379" w:rsidRDefault="00734869" w:rsidP="00F56EAD">
      <w:pPr>
        <w:ind w:left="720" w:hanging="720"/>
      </w:pPr>
      <w:r>
        <w:t>Rothstein, William</w:t>
      </w:r>
      <w:r w:rsidR="00D16016" w:rsidRPr="00322379">
        <w:t xml:space="preserve">. 2008. “National Metrical Types in Music of the Eighteenth and Early </w:t>
      </w:r>
      <w:r>
        <w:t>N</w:t>
      </w:r>
      <w:r w:rsidR="00D16016" w:rsidRPr="00322379">
        <w:t>ineteenth</w:t>
      </w:r>
      <w:r>
        <w:t xml:space="preserve"> </w:t>
      </w:r>
      <w:r w:rsidR="00D16016" w:rsidRPr="00322379">
        <w:t xml:space="preserve">Centuries.” In </w:t>
      </w:r>
      <w:r w:rsidR="00D16016" w:rsidRPr="007B4C12">
        <w:rPr>
          <w:i/>
          <w:iCs/>
        </w:rPr>
        <w:t>Communication in Eighteenth-Century Music</w:t>
      </w:r>
      <w:r w:rsidR="00D16016" w:rsidRPr="00322379">
        <w:t>, ed</w:t>
      </w:r>
      <w:r w:rsidR="00E45274">
        <w:t>ited by</w:t>
      </w:r>
      <w:r w:rsidR="00D16016" w:rsidRPr="00322379">
        <w:t xml:space="preserve"> Danuta Mirka and Kofi Agawu,</w:t>
      </w:r>
      <w:r w:rsidR="00203174" w:rsidRPr="00322379">
        <w:t xml:space="preserve"> </w:t>
      </w:r>
      <w:r w:rsidR="00D16016" w:rsidRPr="00322379">
        <w:t>112–59. Cambridge University Press.</w:t>
      </w:r>
    </w:p>
    <w:p w14:paraId="080238B2" w14:textId="0F09CF3E" w:rsidR="002232B7" w:rsidRPr="00322379" w:rsidRDefault="002232B7" w:rsidP="00F56EAD">
      <w:pPr>
        <w:ind w:left="720" w:hanging="720"/>
      </w:pPr>
      <w:r w:rsidRPr="00322379">
        <w:t xml:space="preserve">Schmalfeldt, Janet. 2011. </w:t>
      </w:r>
      <w:r w:rsidRPr="00082D92">
        <w:rPr>
          <w:i/>
          <w:iCs/>
        </w:rPr>
        <w:t>In the Process of Becoming</w:t>
      </w:r>
      <w:r w:rsidR="00082D92">
        <w:rPr>
          <w:i/>
          <w:iCs/>
        </w:rPr>
        <w:t>: Analytic and Philosophical Perspectives on Form in Early Nineteenth-Century Music</w:t>
      </w:r>
      <w:r w:rsidRPr="00082D92">
        <w:rPr>
          <w:i/>
          <w:iCs/>
        </w:rPr>
        <w:t>.</w:t>
      </w:r>
      <w:r w:rsidRPr="00322379">
        <w:t xml:space="preserve"> Oxford U</w:t>
      </w:r>
      <w:r w:rsidR="00D82535" w:rsidRPr="00322379">
        <w:t>niversity Press</w:t>
      </w:r>
      <w:r w:rsidRPr="00322379">
        <w:t>.</w:t>
      </w:r>
    </w:p>
    <w:p w14:paraId="07AD181F" w14:textId="395D9BDC" w:rsidR="002232B7" w:rsidRPr="00322379" w:rsidRDefault="002232B7" w:rsidP="00F56EAD">
      <w:pPr>
        <w:ind w:left="720" w:hanging="720"/>
      </w:pPr>
      <w:r w:rsidRPr="00322379">
        <w:t xml:space="preserve">Temperley, David. 2008. </w:t>
      </w:r>
      <w:r w:rsidR="004225F6">
        <w:t>“</w:t>
      </w:r>
      <w:r w:rsidR="00D82535" w:rsidRPr="00322379">
        <w:t xml:space="preserve">Hypermetrical </w:t>
      </w:r>
      <w:r w:rsidR="00E45274">
        <w:t>T</w:t>
      </w:r>
      <w:r w:rsidR="00D82535" w:rsidRPr="00322379">
        <w:t>ransitions.</w:t>
      </w:r>
      <w:r w:rsidR="004225F6">
        <w:t>”</w:t>
      </w:r>
      <w:r w:rsidR="00D82535" w:rsidRPr="00322379">
        <w:t> </w:t>
      </w:r>
      <w:r w:rsidR="00D82535" w:rsidRPr="004225F6">
        <w:rPr>
          <w:i/>
          <w:iCs/>
        </w:rPr>
        <w:t>Music Theory Spectrum</w:t>
      </w:r>
      <w:r w:rsidR="00D82535" w:rsidRPr="00322379">
        <w:t> 30</w:t>
      </w:r>
      <w:r w:rsidR="004225F6">
        <w:t xml:space="preserve"> </w:t>
      </w:r>
      <w:r w:rsidR="00E45274">
        <w:t>(</w:t>
      </w:r>
      <w:r w:rsidR="00D82535" w:rsidRPr="00322379">
        <w:t>2</w:t>
      </w:r>
      <w:r w:rsidR="00E45274">
        <w:t>)</w:t>
      </w:r>
      <w:r w:rsidR="00D82535" w:rsidRPr="00322379">
        <w:t>: 305–25.</w:t>
      </w:r>
    </w:p>
    <w:p w14:paraId="423D655B" w14:textId="58C3F670" w:rsidR="00AE6BEF" w:rsidRPr="00037734" w:rsidRDefault="009742B9" w:rsidP="00F56EAD">
      <w:pPr>
        <w:ind w:left="720" w:hanging="720"/>
      </w:pPr>
      <w:r w:rsidRPr="00322379">
        <w:t xml:space="preserve">Vande Moortele, Steven. 2013. </w:t>
      </w:r>
      <w:r w:rsidR="004225F6">
        <w:t>“</w:t>
      </w:r>
      <w:r w:rsidRPr="00322379">
        <w:t>In Search of Romantic Form.</w:t>
      </w:r>
      <w:r w:rsidR="003C5D5C">
        <w:t>”</w:t>
      </w:r>
      <w:r w:rsidRPr="00322379">
        <w:t xml:space="preserve"> </w:t>
      </w:r>
      <w:r w:rsidRPr="003C5D5C">
        <w:rPr>
          <w:i/>
          <w:iCs/>
        </w:rPr>
        <w:t>Music Analysis</w:t>
      </w:r>
      <w:r w:rsidRPr="00322379">
        <w:t xml:space="preserve"> 32</w:t>
      </w:r>
      <w:r w:rsidR="00E45274">
        <w:t xml:space="preserve"> (</w:t>
      </w:r>
      <w:r w:rsidRPr="00322379">
        <w:t>3</w:t>
      </w:r>
      <w:r w:rsidR="00E45274">
        <w:t>)</w:t>
      </w:r>
      <w:r w:rsidRPr="00322379">
        <w:t>: 404–31</w:t>
      </w:r>
      <w:r w:rsidR="003C5D5C">
        <w:t>.</w:t>
      </w:r>
    </w:p>
    <w:sectPr w:rsidR="00AE6BEF" w:rsidRPr="00037734" w:rsidSect="00F87A9F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CBA69" w14:textId="77777777" w:rsidR="009B780E" w:rsidRDefault="009B780E" w:rsidP="00791800">
      <w:pPr>
        <w:spacing w:line="240" w:lineRule="auto"/>
      </w:pPr>
      <w:r>
        <w:separator/>
      </w:r>
    </w:p>
  </w:endnote>
  <w:endnote w:type="continuationSeparator" w:id="0">
    <w:p w14:paraId="1DD5BB0C" w14:textId="77777777" w:rsidR="009B780E" w:rsidRDefault="009B780E" w:rsidP="007918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0206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986C68" w14:textId="77777777" w:rsidR="003E606D" w:rsidRDefault="00A14A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6CF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383B092" w14:textId="77777777" w:rsidR="003E606D" w:rsidRDefault="003E6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52905" w14:textId="77777777" w:rsidR="009B780E" w:rsidRDefault="009B780E" w:rsidP="00791800">
      <w:pPr>
        <w:spacing w:line="240" w:lineRule="auto"/>
      </w:pPr>
      <w:r>
        <w:separator/>
      </w:r>
    </w:p>
  </w:footnote>
  <w:footnote w:type="continuationSeparator" w:id="0">
    <w:p w14:paraId="08A692D2" w14:textId="77777777" w:rsidR="009B780E" w:rsidRDefault="009B780E" w:rsidP="00791800">
      <w:pPr>
        <w:spacing w:line="240" w:lineRule="auto"/>
      </w:pPr>
      <w:r>
        <w:continuationSeparator/>
      </w:r>
    </w:p>
  </w:footnote>
  <w:footnote w:id="1">
    <w:p w14:paraId="6A71A1D8" w14:textId="2D292B22" w:rsidR="00322379" w:rsidRPr="00EC1928" w:rsidRDefault="00322379" w:rsidP="00EC1928">
      <w:pPr>
        <w:pStyle w:val="FootnoteText"/>
      </w:pPr>
      <w:r w:rsidRPr="00EC1928">
        <w:rPr>
          <w:rStyle w:val="FootnoteReference"/>
        </w:rPr>
        <w:footnoteRef/>
      </w:r>
      <w:r w:rsidRPr="00EC1928">
        <w:t xml:space="preserve"> </w:t>
      </w:r>
      <w:r w:rsidRPr="00E31B6C">
        <w:t>These terms refer to strong even-numbered measures and strong odd-numbered ones</w:t>
      </w:r>
      <w:r w:rsidR="00C35EAD">
        <w:t xml:space="preserve"> (Temperley 2008)</w:t>
      </w:r>
      <w:r w:rsidRPr="00E31B6C">
        <w:t>.</w:t>
      </w:r>
    </w:p>
  </w:footnote>
  <w:footnote w:id="2">
    <w:p w14:paraId="2B187BD1" w14:textId="0538A8C9" w:rsidR="00EE5E12" w:rsidRPr="00226D25" w:rsidRDefault="00EE5E12" w:rsidP="004924A3">
      <w:pPr>
        <w:pStyle w:val="FootnoteText"/>
      </w:pPr>
      <w:r w:rsidRPr="004924A3">
        <w:rPr>
          <w:rStyle w:val="FootnoteReference"/>
        </w:rPr>
        <w:footnoteRef/>
      </w:r>
      <w:r w:rsidRPr="00226D25">
        <w:t xml:space="preserve"> Justin London (2012, </w:t>
      </w:r>
      <w:r w:rsidR="00F704EC">
        <w:t>100–115</w:t>
      </w:r>
      <w:r w:rsidRPr="00226D25">
        <w:t xml:space="preserve">) also </w:t>
      </w:r>
      <w:r w:rsidRPr="004924A3">
        <w:t>discusses</w:t>
      </w:r>
      <w:r w:rsidRPr="00226D25">
        <w:t xml:space="preserve"> metric processes in this movement. </w:t>
      </w:r>
    </w:p>
  </w:footnote>
  <w:footnote w:id="3">
    <w:p w14:paraId="6068B22A" w14:textId="7EA1D292" w:rsidR="00897584" w:rsidRDefault="00897584">
      <w:pPr>
        <w:pStyle w:val="FootnoteText"/>
      </w:pPr>
      <w:r>
        <w:rPr>
          <w:rStyle w:val="FootnoteReference"/>
        </w:rPr>
        <w:footnoteRef/>
      </w:r>
      <w:r>
        <w:t xml:space="preserve"> The idea of becoming</w:t>
      </w:r>
      <w:r w:rsidR="009619A4">
        <w:t xml:space="preserve"> (Schmalfeldt 2011)</w:t>
      </w:r>
      <w:r>
        <w:t xml:space="preserve"> refers to a reinterpretation of function (for example, main theme</w:t>
      </w:r>
      <w:r w:rsidR="0059479E" w:rsidRPr="00F052D9">
        <w:rPr>
          <w:rFonts w:ascii="Cambria Math" w:hAnsi="Cambria Math" w:cs="Cambria Math"/>
        </w:rPr>
        <w:t>⇒</w:t>
      </w:r>
      <w:r>
        <w:t>transition) within a formal unit, often thanks to conflicting functional cues that suggest more than one interpretation simultaneously.</w:t>
      </w:r>
    </w:p>
  </w:footnote>
  <w:footnote w:id="4">
    <w:p w14:paraId="43DF2DBF" w14:textId="77F04184" w:rsidR="008666D9" w:rsidRPr="00FC49EA" w:rsidRDefault="008666D9" w:rsidP="008666D9">
      <w:pPr>
        <w:pStyle w:val="FootnoteText"/>
      </w:pPr>
      <w:r w:rsidRPr="00FC49EA">
        <w:rPr>
          <w:rStyle w:val="FootnoteReference"/>
        </w:rPr>
        <w:footnoteRef/>
      </w:r>
      <w:r w:rsidRPr="00FC49EA">
        <w:t xml:space="preserve"> </w:t>
      </w:r>
      <w:r>
        <w:t>Form-functional</w:t>
      </w:r>
      <w:r w:rsidRPr="00E31B6C">
        <w:t xml:space="preserve"> </w:t>
      </w:r>
      <w:r w:rsidRPr="00FC49EA">
        <w:t>terminology</w:t>
      </w:r>
      <w:r w:rsidRPr="00E31B6C">
        <w:t xml:space="preserve"> derives from William Caplin (1998</w:t>
      </w:r>
      <w:r>
        <w:t>,</w:t>
      </w:r>
      <w:r w:rsidRPr="00E31B6C">
        <w:t xml:space="preserve"> 2013).</w:t>
      </w:r>
    </w:p>
  </w:footnote>
  <w:footnote w:id="5">
    <w:p w14:paraId="5A1C2258" w14:textId="6F38CD8F" w:rsidR="003240E5" w:rsidRPr="005410CD" w:rsidRDefault="003240E5" w:rsidP="006D37DA">
      <w:pPr>
        <w:pStyle w:val="FootnoteText"/>
      </w:pPr>
      <w:r w:rsidRPr="006D37DA">
        <w:rPr>
          <w:rStyle w:val="FootnoteReference"/>
        </w:rPr>
        <w:footnoteRef/>
      </w:r>
      <w:r w:rsidRPr="00226D25">
        <w:t xml:space="preserve"> </w:t>
      </w:r>
      <w:r w:rsidR="00FE53C4">
        <w:t>Examples include</w:t>
      </w:r>
      <w:r w:rsidRPr="00226D25">
        <w:t xml:space="preserve"> “Uzh ty niva moya</w:t>
      </w:r>
      <w:r w:rsidR="00FE53C4">
        <w:t>,</w:t>
      </w:r>
      <w:r w:rsidRPr="00D34C17">
        <w:t>” op. 4 no. 5</w:t>
      </w:r>
      <w:r w:rsidR="00FE53C4">
        <w:t>;</w:t>
      </w:r>
      <w:r w:rsidR="00FE53C4" w:rsidRPr="00D34C17">
        <w:t xml:space="preserve"> </w:t>
      </w:r>
      <w:r w:rsidR="004E0E67">
        <w:t>P</w:t>
      </w:r>
      <w:r w:rsidRPr="00D34C17">
        <w:t xml:space="preserve">relude </w:t>
      </w:r>
      <w:r w:rsidR="004E0E67">
        <w:t xml:space="preserve">in E Minor, </w:t>
      </w:r>
      <w:r w:rsidRPr="00D34C17">
        <w:t>op. 32,</w:t>
      </w:r>
      <w:r w:rsidR="004E0E67">
        <w:t xml:space="preserve"> </w:t>
      </w:r>
      <w:r w:rsidR="00BF663F">
        <w:t>n</w:t>
      </w:r>
      <w:r w:rsidR="004E0E67">
        <w:t>o. 4;</w:t>
      </w:r>
      <w:r w:rsidRPr="00D34C17">
        <w:t xml:space="preserve"> and the </w:t>
      </w:r>
      <w:r w:rsidRPr="0090501F">
        <w:rPr>
          <w:i/>
          <w:iCs/>
        </w:rPr>
        <w:t>All-Night Vigil</w:t>
      </w:r>
      <w:r w:rsidR="0090501F">
        <w:t xml:space="preserve">, </w:t>
      </w:r>
      <w:r w:rsidR="00BF663F">
        <w:t>o</w:t>
      </w:r>
      <w:r w:rsidR="0090501F">
        <w:t>p. 37</w:t>
      </w:r>
      <w:r w:rsidR="005F1F90">
        <w:t>,</w:t>
      </w:r>
      <w:r w:rsidR="005F1F90" w:rsidRPr="00226D25">
        <w:t xml:space="preserve"> </w:t>
      </w:r>
      <w:r w:rsidR="005F1F90">
        <w:t>on which s</w:t>
      </w:r>
      <w:r w:rsidR="005F1F90" w:rsidRPr="00D34C17">
        <w:t xml:space="preserve">ee </w:t>
      </w:r>
      <w:r w:rsidR="003E7470" w:rsidRPr="00D34C17">
        <w:t xml:space="preserve">Bakulina </w:t>
      </w:r>
      <w:r w:rsidR="005F1F90">
        <w:t>(</w:t>
      </w:r>
      <w:r w:rsidR="003E7470" w:rsidRPr="00D34C17">
        <w:t>2015</w:t>
      </w:r>
      <w:r w:rsidR="005F1F90">
        <w:t>,</w:t>
      </w:r>
      <w:r w:rsidR="003E7470" w:rsidRPr="00D34C17">
        <w:t xml:space="preserve"> 28–30)</w:t>
      </w:r>
      <w:r w:rsidR="003E7470" w:rsidRPr="005410CD">
        <w:t xml:space="preserve">. </w:t>
      </w:r>
    </w:p>
  </w:footnote>
  <w:footnote w:id="6">
    <w:p w14:paraId="23CB1B99" w14:textId="2D4A4473" w:rsidR="005D2FB7" w:rsidRPr="005D2FB7" w:rsidRDefault="005D2FB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D2FB7">
        <w:t>Another piece that plays with an eighteenth-century topic, in this case the minuet, is Rachmaninoff’s Prelude in D Minor, op. 23, no. 3.</w:t>
      </w:r>
    </w:p>
  </w:footnote>
  <w:footnote w:id="7">
    <w:p w14:paraId="2AD5CA51" w14:textId="1AEC13FC" w:rsidR="00E0423F" w:rsidRPr="00FC49EA" w:rsidRDefault="00E0423F" w:rsidP="00CC6B4E">
      <w:pPr>
        <w:pStyle w:val="FootnoteText"/>
      </w:pPr>
      <w:r w:rsidRPr="00CC6B4E">
        <w:rPr>
          <w:rStyle w:val="FootnoteReference"/>
        </w:rPr>
        <w:footnoteRef/>
      </w:r>
      <w:r w:rsidRPr="00226D25">
        <w:t xml:space="preserve"> </w:t>
      </w:r>
      <w:r w:rsidRPr="00CC6B4E">
        <w:t>Strictly</w:t>
      </w:r>
      <w:r w:rsidRPr="00226D25">
        <w:t xml:space="preserve"> speaking, m. 9 does not qualify as a</w:t>
      </w:r>
      <w:r w:rsidR="00CF654B">
        <w:t>n</w:t>
      </w:r>
      <w:r w:rsidRPr="00226D25">
        <w:t xml:space="preserve"> HC in Caplin’s </w:t>
      </w:r>
      <w:r w:rsidRPr="00D34C17">
        <w:t>taxonomy, since he requires the cadential dominant to enter in root-position form, whereas this V first occurs in a 6/4 position. This is one of the departures from Classical formal conventions. One solution to this problem is to consider the V6/4 on the s</w:t>
      </w:r>
      <w:r w:rsidRPr="00F46BE0">
        <w:t>econd eighth</w:t>
      </w:r>
      <w:r w:rsidR="00CF654B">
        <w:t xml:space="preserve"> </w:t>
      </w:r>
      <w:r w:rsidRPr="00F46BE0">
        <w:t xml:space="preserve">note of m. 9 as an anticipation of the “real” V on the second quarter note. </w:t>
      </w:r>
      <w:r w:rsidR="005A564E">
        <w:t>The bass line is E</w:t>
      </w:r>
      <w:r w:rsidR="00897584">
        <w:t>ß–</w:t>
      </w:r>
      <w:r w:rsidR="005A564E">
        <w:t xml:space="preserve">D, </w:t>
      </w:r>
      <w:r w:rsidR="00A33DDA">
        <w:t xml:space="preserve">a half-cadential motion, </w:t>
      </w:r>
      <w:r w:rsidR="005A564E">
        <w:t xml:space="preserve">with the </w:t>
      </w:r>
      <w:r w:rsidR="00A33DDA">
        <w:t>B</w:t>
      </w:r>
      <w:r w:rsidR="00897584">
        <w:t>ß–</w:t>
      </w:r>
      <w:r w:rsidR="00A33DDA">
        <w:t xml:space="preserve">A understood to be inner-voice material. </w:t>
      </w:r>
      <w:r w:rsidR="00021FB3" w:rsidRPr="00F704EC">
        <w:t>I will continue to refer to m. 9 as a</w:t>
      </w:r>
      <w:r w:rsidR="001B4E7A">
        <w:t>n</w:t>
      </w:r>
      <w:r w:rsidR="00021FB3" w:rsidRPr="00F704EC">
        <w:t xml:space="preserve"> HC, </w:t>
      </w:r>
      <w:r w:rsidR="00002B4D" w:rsidRPr="00C45C8F">
        <w:t>with the understanding that a</w:t>
      </w:r>
      <w:r w:rsidR="001B4E7A">
        <w:t>n</w:t>
      </w:r>
      <w:r w:rsidR="00002B4D" w:rsidRPr="00C45C8F">
        <w:t xml:space="preserve"> HC may be a looser concept in early </w:t>
      </w:r>
      <w:r w:rsidR="001B4E7A">
        <w:t>twentieth</w:t>
      </w:r>
      <w:r w:rsidR="00002B4D" w:rsidRPr="00847D41">
        <w:t xml:space="preserve">-century music </w:t>
      </w:r>
      <w:r w:rsidR="007B3947">
        <w:t>than in</w:t>
      </w:r>
      <w:r w:rsidR="00002B4D" w:rsidRPr="00847D41">
        <w:t xml:space="preserve"> </w:t>
      </w:r>
      <w:r w:rsidR="00B21F7D" w:rsidRPr="00FC49EA">
        <w:t xml:space="preserve">music </w:t>
      </w:r>
      <w:r w:rsidR="00002B4D" w:rsidRPr="00FC49EA">
        <w:t xml:space="preserve">around 1800. </w:t>
      </w:r>
    </w:p>
  </w:footnote>
  <w:footnote w:id="8">
    <w:p w14:paraId="4E7A00BC" w14:textId="399831C6" w:rsidR="00CD571A" w:rsidRDefault="00CD57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B407E">
        <w:t xml:space="preserve">This is equivalent to </w:t>
      </w:r>
      <w:r>
        <w:t>Caplin</w:t>
      </w:r>
      <w:r w:rsidR="006B407E">
        <w:t>’s</w:t>
      </w:r>
      <w:r>
        <w:t xml:space="preserve"> (2013, </w:t>
      </w:r>
      <w:r w:rsidR="000C14D2">
        <w:t>133–34</w:t>
      </w:r>
      <w:r>
        <w:t xml:space="preserve">) </w:t>
      </w:r>
      <w:r w:rsidR="00AB3685">
        <w:t>“thematic introduction”</w:t>
      </w:r>
      <w:r w:rsidR="006B407E">
        <w:t xml:space="preserve"> and Rothstein’s ([1989] 2007, 68) “prefix.”</w:t>
      </w:r>
    </w:p>
  </w:footnote>
  <w:footnote w:id="9">
    <w:p w14:paraId="76C40100" w14:textId="2B84B60E" w:rsidR="006F3FDA" w:rsidRPr="00E2075F" w:rsidRDefault="006F3FDA" w:rsidP="00E64B7E">
      <w:pPr>
        <w:pStyle w:val="FootnoteText"/>
      </w:pPr>
      <w:r w:rsidRPr="00E64B7E">
        <w:rPr>
          <w:rStyle w:val="FootnoteReference"/>
        </w:rPr>
        <w:footnoteRef/>
      </w:r>
      <w:r w:rsidRPr="00226D25">
        <w:t xml:space="preserve"> It is possible</w:t>
      </w:r>
      <w:r w:rsidRPr="005410CD">
        <w:t xml:space="preserve"> to </w:t>
      </w:r>
      <w:r w:rsidR="00EB22AD" w:rsidRPr="005410CD">
        <w:t xml:space="preserve">regard mm. 5–9 </w:t>
      </w:r>
      <w:r w:rsidR="00824F46">
        <w:t xml:space="preserve">as </w:t>
      </w:r>
      <w:r w:rsidR="00EB22AD" w:rsidRPr="005410CD">
        <w:t>a loose consequent with a reharmonized b</w:t>
      </w:r>
      <w:r w:rsidR="006B73AB" w:rsidRPr="005410CD">
        <w:t>asic idea</w:t>
      </w:r>
      <w:r w:rsidR="00EB22AD" w:rsidRPr="005410CD">
        <w:t xml:space="preserve">, after an “antecedent” in </w:t>
      </w:r>
      <w:r w:rsidR="00E2075F">
        <w:t xml:space="preserve">mm. </w:t>
      </w:r>
      <w:r w:rsidR="00EB22AD" w:rsidRPr="00E2075F">
        <w:t xml:space="preserve">1–5, but the HC in m. 9 disqualifies this reading. </w:t>
      </w:r>
    </w:p>
  </w:footnote>
  <w:footnote w:id="10">
    <w:p w14:paraId="6A85D624" w14:textId="441E3186" w:rsidR="006B73AB" w:rsidRPr="00FF2D5E" w:rsidRDefault="006B73AB" w:rsidP="00FF2D5E">
      <w:pPr>
        <w:pStyle w:val="FootnoteText"/>
      </w:pPr>
      <w:r w:rsidRPr="00FF2D5E">
        <w:rPr>
          <w:rStyle w:val="FootnoteReference"/>
        </w:rPr>
        <w:footnoteRef/>
      </w:r>
      <w:r w:rsidRPr="00FF2D5E">
        <w:t xml:space="preserve"> </w:t>
      </w:r>
      <w:r w:rsidRPr="00E31B6C">
        <w:t xml:space="preserve">The fragmentation starting in m. 3 is somewhat unusual in a </w:t>
      </w:r>
      <w:r w:rsidR="001606ED">
        <w:t>sentence</w:t>
      </w:r>
      <w:r w:rsidRPr="00E31B6C">
        <w:t xml:space="preserve">, but there are Classical </w:t>
      </w:r>
      <w:r w:rsidR="008D7FB6">
        <w:t xml:space="preserve">presentations </w:t>
      </w:r>
      <w:r w:rsidRPr="00E31B6C">
        <w:t>consisting of two one-measure motives</w:t>
      </w:r>
      <w:r w:rsidR="00B9314B">
        <w:t>,</w:t>
      </w:r>
      <w:r w:rsidRPr="00E31B6C">
        <w:t xml:space="preserve"> too: the first movement of Beethoven’s Piano Sonata op. 14</w:t>
      </w:r>
      <w:r w:rsidR="002B7754">
        <w:t>,</w:t>
      </w:r>
      <w:r w:rsidRPr="00E31B6C">
        <w:t xml:space="preserve"> no. 2, for instance.</w:t>
      </w:r>
    </w:p>
  </w:footnote>
  <w:footnote w:id="11">
    <w:p w14:paraId="03F34A8E" w14:textId="581E549E" w:rsidR="0064068A" w:rsidRPr="00A8047B" w:rsidRDefault="0064068A" w:rsidP="00A8047B">
      <w:pPr>
        <w:pStyle w:val="FootnoteText"/>
      </w:pPr>
      <w:r w:rsidRPr="00A8047B">
        <w:rPr>
          <w:rStyle w:val="FootnoteReference"/>
        </w:rPr>
        <w:footnoteRef/>
      </w:r>
      <w:r w:rsidRPr="00A8047B">
        <w:t xml:space="preserve"> “Essential” and “non-</w:t>
      </w:r>
      <w:r w:rsidR="00A8047B">
        <w:t>e</w:t>
      </w:r>
      <w:r w:rsidRPr="00A8047B">
        <w:t xml:space="preserve">ssential” refer to </w:t>
      </w:r>
      <w:r w:rsidRPr="00E31B6C">
        <w:t xml:space="preserve">an </w:t>
      </w:r>
      <w:r w:rsidR="002D45A4">
        <w:t>eighteenth</w:t>
      </w:r>
      <w:r w:rsidRPr="00E31B6C">
        <w:t xml:space="preserve">-century distinction </w:t>
      </w:r>
      <w:r w:rsidR="002D45A4">
        <w:t>(</w:t>
      </w:r>
      <w:r w:rsidRPr="00E31B6C">
        <w:t>Burstein</w:t>
      </w:r>
      <w:r w:rsidR="00206761">
        <w:t xml:space="preserve">, Nguyen, and Roderer </w:t>
      </w:r>
      <w:r w:rsidRPr="00E31B6C">
        <w:t>2024).</w:t>
      </w:r>
    </w:p>
  </w:footnote>
  <w:footnote w:id="12">
    <w:p w14:paraId="53329D14" w14:textId="2ACD2601" w:rsidR="001836E3" w:rsidRPr="00306D1C" w:rsidRDefault="001836E3" w:rsidP="00621AEC">
      <w:pPr>
        <w:pStyle w:val="FootnoteText"/>
      </w:pPr>
      <w:r w:rsidRPr="00621AEC">
        <w:rPr>
          <w:rStyle w:val="FootnoteReference"/>
        </w:rPr>
        <w:footnoteRef/>
      </w:r>
      <w:r w:rsidRPr="00226D25">
        <w:t xml:space="preserve"> </w:t>
      </w:r>
      <w:r w:rsidR="000A4A32">
        <w:t>Each</w:t>
      </w:r>
      <w:r w:rsidR="000A4A32" w:rsidRPr="00226D25">
        <w:t xml:space="preserve"> </w:t>
      </w:r>
      <w:r w:rsidRPr="00226D25">
        <w:t xml:space="preserve">hybrid </w:t>
      </w:r>
      <w:r w:rsidRPr="00621AEC">
        <w:t>consists</w:t>
      </w:r>
      <w:r w:rsidRPr="00226D25">
        <w:t xml:space="preserve"> of a compound basic idea </w:t>
      </w:r>
      <w:r w:rsidR="00621AEC">
        <w:t>(c.b.i</w:t>
      </w:r>
      <w:r w:rsidR="000A4A32">
        <w:t>.</w:t>
      </w:r>
      <w:r w:rsidR="00621AEC">
        <w:t xml:space="preserve">, </w:t>
      </w:r>
      <w:r w:rsidRPr="00226D25">
        <w:t>mm. 3–5) and continuation. The c.b.i. resemble</w:t>
      </w:r>
      <w:r w:rsidR="009F4ED9">
        <w:t>s</w:t>
      </w:r>
      <w:r w:rsidRPr="00226D25">
        <w:t xml:space="preserve"> a sentential presentation </w:t>
      </w:r>
      <w:r w:rsidR="00B82406" w:rsidRPr="00D34C17">
        <w:t xml:space="preserve">(which </w:t>
      </w:r>
      <w:r w:rsidR="009F4ED9">
        <w:t>might</w:t>
      </w:r>
      <w:r w:rsidR="009F4ED9" w:rsidRPr="00D34C17">
        <w:t xml:space="preserve"> </w:t>
      </w:r>
      <w:r w:rsidR="00B82406" w:rsidRPr="00D34C17">
        <w:t>render the eight-</w:t>
      </w:r>
      <w:r w:rsidR="00B82406" w:rsidRPr="00F46BE0">
        <w:t xml:space="preserve">measure phrase a sentence) </w:t>
      </w:r>
      <w:r w:rsidRPr="005C53E7">
        <w:t>due to the rhythmic equivalen</w:t>
      </w:r>
      <w:r w:rsidR="00B82406" w:rsidRPr="005C53E7">
        <w:t>ce</w:t>
      </w:r>
      <w:r w:rsidRPr="005C53E7">
        <w:t xml:space="preserve"> of the two ideas, but the harmonic progression does not fit Classical sentential presentation</w:t>
      </w:r>
      <w:r w:rsidR="00430F82" w:rsidRPr="00306D1C">
        <w:t xml:space="preserve"> schemes.</w:t>
      </w:r>
    </w:p>
  </w:footnote>
  <w:footnote w:id="13">
    <w:p w14:paraId="3ADD717E" w14:textId="360CF985" w:rsidR="008A0B24" w:rsidRPr="008A0B24" w:rsidRDefault="008A0B24">
      <w:pPr>
        <w:pStyle w:val="FootnoteText"/>
      </w:pPr>
      <w:r>
        <w:rPr>
          <w:rStyle w:val="FootnoteReference"/>
        </w:rPr>
        <w:footnoteRef/>
      </w:r>
      <w:r>
        <w:t xml:space="preserve"> See</w:t>
      </w:r>
      <w:r w:rsidR="00897584">
        <w:t xml:space="preserve">, </w:t>
      </w:r>
      <w:r w:rsidR="007337F1">
        <w:t>in this connection</w:t>
      </w:r>
      <w:r w:rsidR="00897584">
        <w:t>,</w:t>
      </w:r>
      <w:r>
        <w:t xml:space="preserve"> Hutchinson and Poon</w:t>
      </w:r>
      <w:r w:rsidR="007337F1">
        <w:t xml:space="preserve"> (</w:t>
      </w:r>
      <w:r>
        <w:t>2022</w:t>
      </w:r>
      <w:r w:rsidR="007337F1">
        <w:t>).</w:t>
      </w:r>
    </w:p>
  </w:footnote>
  <w:footnote w:id="14">
    <w:p w14:paraId="00408345" w14:textId="53482D11" w:rsidR="00057F22" w:rsidRPr="00F46BE0" w:rsidRDefault="00057F22" w:rsidP="00756308">
      <w:pPr>
        <w:pStyle w:val="FootnoteText"/>
      </w:pPr>
      <w:r w:rsidRPr="00756308">
        <w:rPr>
          <w:rStyle w:val="FootnoteReference"/>
        </w:rPr>
        <w:footnoteRef/>
      </w:r>
      <w:r w:rsidRPr="00226D25">
        <w:t xml:space="preserve"> A third option </w:t>
      </w:r>
      <w:r w:rsidRPr="00756308">
        <w:t>would</w:t>
      </w:r>
      <w:r w:rsidRPr="00226D25">
        <w:t xml:space="preserve"> be a </w:t>
      </w:r>
      <w:r w:rsidRPr="00756308">
        <w:rPr>
          <w:rStyle w:val="FootnoteReference"/>
          <w:vertAlign w:val="baseline"/>
        </w:rPr>
        <w:t>hypermetrical</w:t>
      </w:r>
      <w:r w:rsidRPr="00226D25">
        <w:t xml:space="preserve"> transition (Temperley 2008) between the odd-strong beginning and the even-strong ending of the antecedent. The consequent would then do the opposite: transition from even-strong to odd-strong hypermeter</w:t>
      </w:r>
      <w:r w:rsidRPr="00D34C17">
        <w:t xml:space="preserve">. </w:t>
      </w:r>
    </w:p>
  </w:footnote>
  <w:footnote w:id="15">
    <w:p w14:paraId="19C24B13" w14:textId="3FD0AC5B" w:rsidR="00DA2EA0" w:rsidRPr="005C53E7" w:rsidRDefault="00DA2EA0" w:rsidP="00505C32">
      <w:pPr>
        <w:pStyle w:val="FootnoteText"/>
      </w:pPr>
      <w:r w:rsidRPr="00505C32">
        <w:rPr>
          <w:rStyle w:val="FootnoteReference"/>
        </w:rPr>
        <w:footnoteRef/>
      </w:r>
      <w:r w:rsidRPr="00226D25">
        <w:t xml:space="preserve"> Examples of re-barring existing music </w:t>
      </w:r>
      <w:r w:rsidR="00952C7D">
        <w:t xml:space="preserve">can be </w:t>
      </w:r>
      <w:r w:rsidRPr="00226D25">
        <w:t xml:space="preserve">found in </w:t>
      </w:r>
      <w:r w:rsidR="00952C7D">
        <w:t xml:space="preserve">historical treatises such as </w:t>
      </w:r>
      <w:r w:rsidRPr="00226D25">
        <w:t xml:space="preserve">Hugo Riemann’s </w:t>
      </w:r>
      <w:r w:rsidRPr="00D34C17">
        <w:rPr>
          <w:i/>
          <w:iCs/>
        </w:rPr>
        <w:t>Musikalische Dynamik und Agogik</w:t>
      </w:r>
      <w:r w:rsidRPr="00F46BE0">
        <w:t xml:space="preserve"> (1884) </w:t>
      </w:r>
      <w:r w:rsidR="00952C7D">
        <w:t>(</w:t>
      </w:r>
      <w:r w:rsidRPr="00F46BE0">
        <w:t>Rothstein 2008</w:t>
      </w:r>
      <w:r w:rsidR="00952C7D">
        <w:t>,</w:t>
      </w:r>
      <w:r w:rsidRPr="00F46BE0">
        <w:t xml:space="preserve"> </w:t>
      </w:r>
      <w:r w:rsidR="00792C8E" w:rsidRPr="005C53E7">
        <w:t xml:space="preserve">120–21). </w:t>
      </w:r>
      <w:r w:rsidRPr="005C53E7">
        <w:t xml:space="preserve"> </w:t>
      </w:r>
    </w:p>
  </w:footnote>
  <w:footnote w:id="16">
    <w:p w14:paraId="6A6D1542" w14:textId="5E4335A9" w:rsidR="0081569B" w:rsidRPr="00F46BE0" w:rsidRDefault="0081569B" w:rsidP="00F6295B">
      <w:pPr>
        <w:pStyle w:val="FootnoteText"/>
      </w:pPr>
      <w:r w:rsidRPr="00F6295B">
        <w:rPr>
          <w:rStyle w:val="FootnoteReference"/>
        </w:rPr>
        <w:footnoteRef/>
      </w:r>
      <w:r w:rsidRPr="00226D25">
        <w:t xml:space="preserve"> In the alternative, sentential readin</w:t>
      </w:r>
      <w:r w:rsidRPr="00D34C17">
        <w:t xml:space="preserve">g of mm. 1–5, </w:t>
      </w:r>
      <w:r w:rsidRPr="00F6295B">
        <w:t>the</w:t>
      </w:r>
      <w:r w:rsidRPr="00D34C17">
        <w:t xml:space="preserve"> extra beat would fit with</w:t>
      </w:r>
      <w:r w:rsidR="000210B7">
        <w:t>in</w:t>
      </w:r>
      <w:r w:rsidRPr="00D34C17">
        <w:t xml:space="preserve"> a third, incomplete statement of the basic idea (</w:t>
      </w:r>
      <w:r w:rsidR="000210B7">
        <w:t>based on</w:t>
      </w:r>
      <w:r w:rsidRPr="00D34C17">
        <w:t xml:space="preserve"> m. 1) and the beginning of the continuation (mm. 3–5)</w:t>
      </w:r>
      <w:r w:rsidR="000210B7">
        <w:t>.</w:t>
      </w:r>
      <w:r w:rsidRPr="00D34C17">
        <w:t xml:space="preserve"> </w:t>
      </w:r>
    </w:p>
  </w:footnote>
  <w:footnote w:id="17">
    <w:p w14:paraId="76BD38DA" w14:textId="53616862" w:rsidR="00217678" w:rsidRPr="00F46BE0" w:rsidRDefault="00217678" w:rsidP="004877D5">
      <w:pPr>
        <w:pStyle w:val="FootnoteText"/>
      </w:pPr>
      <w:r w:rsidRPr="004877D5">
        <w:rPr>
          <w:rStyle w:val="FootnoteReference"/>
        </w:rPr>
        <w:footnoteRef/>
      </w:r>
      <w:r w:rsidRPr="00226D25">
        <w:t xml:space="preserve"> Another temporary </w:t>
      </w:r>
      <w:r w:rsidRPr="004877D5">
        <w:t>complication</w:t>
      </w:r>
      <w:r w:rsidRPr="00226D25">
        <w:t xml:space="preserve"> is introduced in the interpo</w:t>
      </w:r>
      <w:r w:rsidRPr="00D34C17">
        <w:t>lation. The low bass D</w:t>
      </w:r>
      <w:r w:rsidR="00426A81">
        <w:t>s</w:t>
      </w:r>
      <w:r w:rsidRPr="00D34C17">
        <w:t xml:space="preserve"> suggest an accent</w:t>
      </w:r>
      <w:r w:rsidR="006C4F04">
        <w:t xml:space="preserve"> on </w:t>
      </w:r>
      <w:r w:rsidRPr="00D34C17">
        <w:t xml:space="preserve">the odd-numbered measures 11 and 13 </w:t>
      </w:r>
      <w:r w:rsidR="001661C8">
        <w:t>of</w:t>
      </w:r>
      <w:r w:rsidRPr="00D34C17">
        <w:t xml:space="preserve"> </w:t>
      </w:r>
      <w:r w:rsidR="00275561">
        <w:t>Example 3a</w:t>
      </w:r>
      <w:r w:rsidR="0015502A">
        <w:t>;</w:t>
      </w:r>
      <w:r w:rsidRPr="00D34C17">
        <w:t xml:space="preserve"> the accent </w:t>
      </w:r>
      <w:r w:rsidR="0015502A">
        <w:t xml:space="preserve">subsequently </w:t>
      </w:r>
      <w:r w:rsidRPr="00D34C17">
        <w:t>returns to its previous position.</w:t>
      </w:r>
    </w:p>
  </w:footnote>
  <w:footnote w:id="18">
    <w:p w14:paraId="06A99AEB" w14:textId="5EE7D692" w:rsidR="00897584" w:rsidRPr="00897584" w:rsidRDefault="00897584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="00A71E6B">
        <w:t xml:space="preserve">Sergei Rachmaninoff, </w:t>
      </w:r>
      <w:r w:rsidR="00A71E6B">
        <w:rPr>
          <w:i/>
          <w:iCs/>
        </w:rPr>
        <w:t xml:space="preserve">A Window in Time: </w:t>
      </w:r>
      <w:r w:rsidR="00F80FC8">
        <w:rPr>
          <w:i/>
          <w:iCs/>
        </w:rPr>
        <w:t>Rachmaninoff Performs His Solo Piano Works</w:t>
      </w:r>
      <w:r w:rsidR="00B25F7E">
        <w:t>, recorded 1919–29</w:t>
      </w:r>
      <w:r w:rsidR="00F80FC8">
        <w:t xml:space="preserve"> (Telarc, 1998)</w:t>
      </w:r>
      <w:r>
        <w:rPr>
          <w:lang w:val="en-CA"/>
        </w:rPr>
        <w:t>.</w:t>
      </w:r>
    </w:p>
  </w:footnote>
  <w:footnote w:id="19">
    <w:p w14:paraId="25A9BBEB" w14:textId="7F1FB387" w:rsidR="00C8039A" w:rsidRPr="005C53E7" w:rsidRDefault="00C8039A" w:rsidP="004E386E">
      <w:pPr>
        <w:pStyle w:val="FootnoteText"/>
      </w:pPr>
      <w:r w:rsidRPr="004E386E">
        <w:rPr>
          <w:rStyle w:val="FootnoteReference"/>
        </w:rPr>
        <w:footnoteRef/>
      </w:r>
      <w:r w:rsidRPr="00226D25">
        <w:t xml:space="preserve"> The post-</w:t>
      </w:r>
      <w:r w:rsidRPr="004E386E">
        <w:t>cadential</w:t>
      </w:r>
      <w:r w:rsidRPr="00226D25">
        <w:t xml:space="preserve"> function of the final section co</w:t>
      </w:r>
      <w:r w:rsidRPr="00D34C17">
        <w:t>mes from a lengthy tonic harmony (sustained for either four or seven measures depending on individual reading), followed by repeated cadential progressions—a typical post-cadential technique (Caplin 2013,</w:t>
      </w:r>
      <w:r w:rsidR="000A2A0C" w:rsidRPr="00F46BE0">
        <w:t xml:space="preserve"> 135</w:t>
      </w:r>
      <w:r w:rsidRPr="005C53E7">
        <w:t xml:space="preserve">). </w:t>
      </w:r>
    </w:p>
  </w:footnote>
  <w:footnote w:id="20">
    <w:p w14:paraId="75D575E4" w14:textId="3456D86C" w:rsidR="0081569B" w:rsidRPr="00A75AD8" w:rsidRDefault="0081569B" w:rsidP="00D7643C">
      <w:pPr>
        <w:pStyle w:val="FootnoteText"/>
      </w:pPr>
      <w:r w:rsidRPr="00D7643C">
        <w:rPr>
          <w:rStyle w:val="FootnoteReference"/>
        </w:rPr>
        <w:footnoteRef/>
      </w:r>
      <w:r w:rsidRPr="00226D25">
        <w:t xml:space="preserve"> In the alternative (sentential) reading of</w:t>
      </w:r>
      <w:r w:rsidRPr="00D34C17">
        <w:t xml:space="preserve"> the opening measures, the recapitulatory passage I read as retransition</w:t>
      </w:r>
      <w:r w:rsidR="00BF642D" w:rsidRPr="00F052D9">
        <w:rPr>
          <w:rFonts w:ascii="Cambria Math" w:hAnsi="Cambria Math" w:cs="Cambria Math"/>
        </w:rPr>
        <w:t>⇒</w:t>
      </w:r>
      <w:r w:rsidRPr="00BF642D">
        <w:rPr>
          <w:i/>
          <w:iCs/>
        </w:rPr>
        <w:t>a</w:t>
      </w:r>
      <w:r w:rsidR="00BF642D">
        <w:t>′</w:t>
      </w:r>
      <w:r w:rsidRPr="00D34C17">
        <w:t xml:space="preserve"> would </w:t>
      </w:r>
      <w:r w:rsidR="00BF642D">
        <w:t xml:space="preserve">consist of </w:t>
      </w:r>
      <w:r w:rsidRPr="00D34C17">
        <w:t>a series of presentation-like phrases, what Rothstein (</w:t>
      </w:r>
      <w:r w:rsidR="00CC0629">
        <w:t>[</w:t>
      </w:r>
      <w:r w:rsidRPr="00D34C17">
        <w:t>1989</w:t>
      </w:r>
      <w:r w:rsidR="00CC0629">
        <w:t>] 2007</w:t>
      </w:r>
      <w:r w:rsidRPr="00D34C17">
        <w:t xml:space="preserve">, 296) </w:t>
      </w:r>
      <w:r w:rsidR="00EA2980" w:rsidRPr="00F46BE0">
        <w:t xml:space="preserve">calls </w:t>
      </w:r>
      <w:r w:rsidRPr="005C53E7">
        <w:t xml:space="preserve">a </w:t>
      </w:r>
      <w:r w:rsidR="00991D97">
        <w:t>“</w:t>
      </w:r>
      <w:r w:rsidR="00725511">
        <w:t>S</w:t>
      </w:r>
      <w:r w:rsidR="00725511" w:rsidRPr="00991D97">
        <w:t xml:space="preserve">tollen </w:t>
      </w:r>
      <w:r w:rsidRPr="00991D97">
        <w:t>process</w:t>
      </w:r>
      <w:r w:rsidRPr="005C53E7">
        <w:t>.</w:t>
      </w:r>
      <w:r w:rsidR="00991D97">
        <w:t>”</w:t>
      </w:r>
    </w:p>
  </w:footnote>
  <w:footnote w:id="21">
    <w:p w14:paraId="224CCF36" w14:textId="7B9C3633" w:rsidR="003F08E0" w:rsidRPr="00E31B6C" w:rsidRDefault="003F08E0" w:rsidP="006B000E">
      <w:pPr>
        <w:pStyle w:val="FootnoteText"/>
      </w:pPr>
      <w:r w:rsidRPr="006B000E">
        <w:rPr>
          <w:rStyle w:val="FootnoteReference"/>
        </w:rPr>
        <w:footnoteRef/>
      </w:r>
      <w:r w:rsidRPr="00226D25">
        <w:t xml:space="preserve"> The </w:t>
      </w:r>
      <w:r w:rsidRPr="008D56F0">
        <w:rPr>
          <w:i/>
          <w:iCs/>
        </w:rPr>
        <w:t>a</w:t>
      </w:r>
      <w:r w:rsidR="00B9604D" w:rsidRPr="00D34C17">
        <w:t>′</w:t>
      </w:r>
      <w:r w:rsidR="008D56F0" w:rsidRPr="00F052D9">
        <w:rPr>
          <w:rFonts w:ascii="Cambria Math" w:hAnsi="Cambria Math" w:cs="Cambria Math"/>
        </w:rPr>
        <w:t>⇒</w:t>
      </w:r>
      <w:r w:rsidRPr="00E31B6C">
        <w:t xml:space="preserve">post-cadential is a </w:t>
      </w:r>
      <w:r w:rsidR="008D56F0">
        <w:t>“</w:t>
      </w:r>
      <w:r w:rsidRPr="008D56F0">
        <w:t>dissolving recapitulation</w:t>
      </w:r>
      <w:r w:rsidR="008D56F0">
        <w:t>” (Bakulina 2020, 72),</w:t>
      </w:r>
      <w:r w:rsidRPr="00E31B6C">
        <w:t xml:space="preserve"> which involves </w:t>
      </w:r>
      <w:r w:rsidR="0005388C">
        <w:t xml:space="preserve">hearing the final PAC only through </w:t>
      </w:r>
      <w:r w:rsidRPr="00E31B6C">
        <w:t xml:space="preserve">retrospective reinterpretation.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2776"/>
    <w:multiLevelType w:val="hybridMultilevel"/>
    <w:tmpl w:val="647E9F9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7A08"/>
    <w:multiLevelType w:val="hybridMultilevel"/>
    <w:tmpl w:val="744C23C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74A3E"/>
    <w:multiLevelType w:val="hybridMultilevel"/>
    <w:tmpl w:val="CB5AF8D0"/>
    <w:lvl w:ilvl="0" w:tplc="F06C1A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F58F0"/>
    <w:multiLevelType w:val="hybridMultilevel"/>
    <w:tmpl w:val="1164A20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34"/>
    <w:rsid w:val="00000261"/>
    <w:rsid w:val="000008A1"/>
    <w:rsid w:val="00000AB3"/>
    <w:rsid w:val="00002B4D"/>
    <w:rsid w:val="00007631"/>
    <w:rsid w:val="0001110A"/>
    <w:rsid w:val="0001164D"/>
    <w:rsid w:val="000123D9"/>
    <w:rsid w:val="000131B9"/>
    <w:rsid w:val="0001434C"/>
    <w:rsid w:val="00016B49"/>
    <w:rsid w:val="000210B7"/>
    <w:rsid w:val="00021FB3"/>
    <w:rsid w:val="00033699"/>
    <w:rsid w:val="00035297"/>
    <w:rsid w:val="00037734"/>
    <w:rsid w:val="00042E8F"/>
    <w:rsid w:val="00043330"/>
    <w:rsid w:val="000442E2"/>
    <w:rsid w:val="00050380"/>
    <w:rsid w:val="00051562"/>
    <w:rsid w:val="0005388C"/>
    <w:rsid w:val="0005542F"/>
    <w:rsid w:val="00057F22"/>
    <w:rsid w:val="000655B3"/>
    <w:rsid w:val="00070313"/>
    <w:rsid w:val="000725BE"/>
    <w:rsid w:val="000759D7"/>
    <w:rsid w:val="00081BE3"/>
    <w:rsid w:val="00082D92"/>
    <w:rsid w:val="00083ADA"/>
    <w:rsid w:val="00084534"/>
    <w:rsid w:val="00087216"/>
    <w:rsid w:val="000928D5"/>
    <w:rsid w:val="00093C6A"/>
    <w:rsid w:val="00095D57"/>
    <w:rsid w:val="000A0D66"/>
    <w:rsid w:val="000A1385"/>
    <w:rsid w:val="000A2A0C"/>
    <w:rsid w:val="000A4A32"/>
    <w:rsid w:val="000A7BFA"/>
    <w:rsid w:val="000B2842"/>
    <w:rsid w:val="000B2849"/>
    <w:rsid w:val="000B32C4"/>
    <w:rsid w:val="000B3FCD"/>
    <w:rsid w:val="000B62E3"/>
    <w:rsid w:val="000C0F6B"/>
    <w:rsid w:val="000C14D2"/>
    <w:rsid w:val="000C6EDB"/>
    <w:rsid w:val="000C765A"/>
    <w:rsid w:val="000D0F7F"/>
    <w:rsid w:val="000E0ADF"/>
    <w:rsid w:val="000E0E25"/>
    <w:rsid w:val="000E0FF0"/>
    <w:rsid w:val="000E26BE"/>
    <w:rsid w:val="000E46B1"/>
    <w:rsid w:val="000E4F76"/>
    <w:rsid w:val="000E5986"/>
    <w:rsid w:val="000E679A"/>
    <w:rsid w:val="000E6B03"/>
    <w:rsid w:val="000F1D29"/>
    <w:rsid w:val="000F31CF"/>
    <w:rsid w:val="000F3A44"/>
    <w:rsid w:val="001049FB"/>
    <w:rsid w:val="00106366"/>
    <w:rsid w:val="00111C88"/>
    <w:rsid w:val="001134EE"/>
    <w:rsid w:val="001135DF"/>
    <w:rsid w:val="00126B71"/>
    <w:rsid w:val="00131EEA"/>
    <w:rsid w:val="001375BB"/>
    <w:rsid w:val="00141B89"/>
    <w:rsid w:val="00144C8F"/>
    <w:rsid w:val="0015502A"/>
    <w:rsid w:val="00156F1C"/>
    <w:rsid w:val="001606ED"/>
    <w:rsid w:val="00161C13"/>
    <w:rsid w:val="00162B6C"/>
    <w:rsid w:val="00162E5A"/>
    <w:rsid w:val="00165495"/>
    <w:rsid w:val="001657E9"/>
    <w:rsid w:val="00165D32"/>
    <w:rsid w:val="001661C8"/>
    <w:rsid w:val="001672CA"/>
    <w:rsid w:val="00167E74"/>
    <w:rsid w:val="001716E6"/>
    <w:rsid w:val="00171E4E"/>
    <w:rsid w:val="00173C41"/>
    <w:rsid w:val="001752A6"/>
    <w:rsid w:val="00181EEB"/>
    <w:rsid w:val="001836E3"/>
    <w:rsid w:val="00185594"/>
    <w:rsid w:val="00185CC3"/>
    <w:rsid w:val="00196385"/>
    <w:rsid w:val="00196D9C"/>
    <w:rsid w:val="001A538A"/>
    <w:rsid w:val="001B0086"/>
    <w:rsid w:val="001B4E7A"/>
    <w:rsid w:val="001C2F72"/>
    <w:rsid w:val="001C314B"/>
    <w:rsid w:val="001C70EE"/>
    <w:rsid w:val="001D0D9B"/>
    <w:rsid w:val="001D46DA"/>
    <w:rsid w:val="001D6CF9"/>
    <w:rsid w:val="001D744F"/>
    <w:rsid w:val="001D7B31"/>
    <w:rsid w:val="001E190E"/>
    <w:rsid w:val="001E3396"/>
    <w:rsid w:val="001F27B9"/>
    <w:rsid w:val="001F38B0"/>
    <w:rsid w:val="001F409E"/>
    <w:rsid w:val="001F4F13"/>
    <w:rsid w:val="001F78F3"/>
    <w:rsid w:val="00201ED0"/>
    <w:rsid w:val="00203174"/>
    <w:rsid w:val="00204923"/>
    <w:rsid w:val="0020609B"/>
    <w:rsid w:val="00206761"/>
    <w:rsid w:val="0020677B"/>
    <w:rsid w:val="00207438"/>
    <w:rsid w:val="00211CC4"/>
    <w:rsid w:val="00212749"/>
    <w:rsid w:val="0021291A"/>
    <w:rsid w:val="00212AB0"/>
    <w:rsid w:val="00212F17"/>
    <w:rsid w:val="00216C1B"/>
    <w:rsid w:val="00217678"/>
    <w:rsid w:val="00217825"/>
    <w:rsid w:val="002216FE"/>
    <w:rsid w:val="002232B7"/>
    <w:rsid w:val="00226D25"/>
    <w:rsid w:val="00230379"/>
    <w:rsid w:val="00231E7B"/>
    <w:rsid w:val="00233EB1"/>
    <w:rsid w:val="002360F7"/>
    <w:rsid w:val="0024160C"/>
    <w:rsid w:val="00244E42"/>
    <w:rsid w:val="002459E8"/>
    <w:rsid w:val="00254914"/>
    <w:rsid w:val="00265CE6"/>
    <w:rsid w:val="00267172"/>
    <w:rsid w:val="002677EA"/>
    <w:rsid w:val="00267898"/>
    <w:rsid w:val="00271A5F"/>
    <w:rsid w:val="00275561"/>
    <w:rsid w:val="00286AAB"/>
    <w:rsid w:val="002873F9"/>
    <w:rsid w:val="00290D66"/>
    <w:rsid w:val="00293E49"/>
    <w:rsid w:val="00296F22"/>
    <w:rsid w:val="002A2BC7"/>
    <w:rsid w:val="002A3D8A"/>
    <w:rsid w:val="002A66A6"/>
    <w:rsid w:val="002B0A3A"/>
    <w:rsid w:val="002B6297"/>
    <w:rsid w:val="002B7754"/>
    <w:rsid w:val="002C42C3"/>
    <w:rsid w:val="002C445C"/>
    <w:rsid w:val="002C72B3"/>
    <w:rsid w:val="002D18C7"/>
    <w:rsid w:val="002D45A4"/>
    <w:rsid w:val="002D52D1"/>
    <w:rsid w:val="002D5CF8"/>
    <w:rsid w:val="002E229B"/>
    <w:rsid w:val="002E326A"/>
    <w:rsid w:val="002E3443"/>
    <w:rsid w:val="002E63E8"/>
    <w:rsid w:val="002F230B"/>
    <w:rsid w:val="002F294E"/>
    <w:rsid w:val="002F49FA"/>
    <w:rsid w:val="002F5128"/>
    <w:rsid w:val="002F5594"/>
    <w:rsid w:val="002F6772"/>
    <w:rsid w:val="00306D1C"/>
    <w:rsid w:val="00312958"/>
    <w:rsid w:val="00313995"/>
    <w:rsid w:val="003156D6"/>
    <w:rsid w:val="00316F44"/>
    <w:rsid w:val="00322379"/>
    <w:rsid w:val="0032243B"/>
    <w:rsid w:val="00323892"/>
    <w:rsid w:val="003240E5"/>
    <w:rsid w:val="00330BC3"/>
    <w:rsid w:val="003434ED"/>
    <w:rsid w:val="003478F3"/>
    <w:rsid w:val="003502B8"/>
    <w:rsid w:val="00352A2E"/>
    <w:rsid w:val="0035571A"/>
    <w:rsid w:val="0036149A"/>
    <w:rsid w:val="00361AEB"/>
    <w:rsid w:val="00366F74"/>
    <w:rsid w:val="003678BB"/>
    <w:rsid w:val="00367AB5"/>
    <w:rsid w:val="0037395B"/>
    <w:rsid w:val="00373B75"/>
    <w:rsid w:val="003751A2"/>
    <w:rsid w:val="003847CF"/>
    <w:rsid w:val="00384C25"/>
    <w:rsid w:val="003853CD"/>
    <w:rsid w:val="00385D8D"/>
    <w:rsid w:val="0038652C"/>
    <w:rsid w:val="00387DCC"/>
    <w:rsid w:val="00391715"/>
    <w:rsid w:val="0039604A"/>
    <w:rsid w:val="00396EA8"/>
    <w:rsid w:val="00397283"/>
    <w:rsid w:val="003A32C0"/>
    <w:rsid w:val="003A5336"/>
    <w:rsid w:val="003A70EA"/>
    <w:rsid w:val="003B2DBB"/>
    <w:rsid w:val="003C0D98"/>
    <w:rsid w:val="003C0EB7"/>
    <w:rsid w:val="003C5D5C"/>
    <w:rsid w:val="003C6657"/>
    <w:rsid w:val="003E4CE8"/>
    <w:rsid w:val="003E6035"/>
    <w:rsid w:val="003E606D"/>
    <w:rsid w:val="003E7470"/>
    <w:rsid w:val="003F07AF"/>
    <w:rsid w:val="003F08E0"/>
    <w:rsid w:val="003F0DE4"/>
    <w:rsid w:val="003F38C3"/>
    <w:rsid w:val="003F3B9F"/>
    <w:rsid w:val="0040044E"/>
    <w:rsid w:val="00403176"/>
    <w:rsid w:val="00410F18"/>
    <w:rsid w:val="00412D3B"/>
    <w:rsid w:val="00414077"/>
    <w:rsid w:val="00417EE4"/>
    <w:rsid w:val="004225F6"/>
    <w:rsid w:val="00423372"/>
    <w:rsid w:val="0042687A"/>
    <w:rsid w:val="00426A81"/>
    <w:rsid w:val="00427D10"/>
    <w:rsid w:val="0043038F"/>
    <w:rsid w:val="00430F82"/>
    <w:rsid w:val="004341FB"/>
    <w:rsid w:val="00434BB5"/>
    <w:rsid w:val="0043597A"/>
    <w:rsid w:val="00436198"/>
    <w:rsid w:val="00442268"/>
    <w:rsid w:val="00442296"/>
    <w:rsid w:val="00442FEC"/>
    <w:rsid w:val="00444C33"/>
    <w:rsid w:val="0044745B"/>
    <w:rsid w:val="0044770B"/>
    <w:rsid w:val="00452F99"/>
    <w:rsid w:val="00455283"/>
    <w:rsid w:val="00456BF4"/>
    <w:rsid w:val="00457276"/>
    <w:rsid w:val="00461E1D"/>
    <w:rsid w:val="00463CA3"/>
    <w:rsid w:val="00464C60"/>
    <w:rsid w:val="00466801"/>
    <w:rsid w:val="0047054A"/>
    <w:rsid w:val="004761F5"/>
    <w:rsid w:val="004762F5"/>
    <w:rsid w:val="004808EE"/>
    <w:rsid w:val="00481D6A"/>
    <w:rsid w:val="00482CFF"/>
    <w:rsid w:val="004832B6"/>
    <w:rsid w:val="00486D06"/>
    <w:rsid w:val="00486E21"/>
    <w:rsid w:val="004877D5"/>
    <w:rsid w:val="00487FCF"/>
    <w:rsid w:val="004912B5"/>
    <w:rsid w:val="004924A3"/>
    <w:rsid w:val="00492A4E"/>
    <w:rsid w:val="00493201"/>
    <w:rsid w:val="00494947"/>
    <w:rsid w:val="004A007A"/>
    <w:rsid w:val="004A0098"/>
    <w:rsid w:val="004A293C"/>
    <w:rsid w:val="004A3511"/>
    <w:rsid w:val="004A36FC"/>
    <w:rsid w:val="004A4313"/>
    <w:rsid w:val="004A5438"/>
    <w:rsid w:val="004A5DE5"/>
    <w:rsid w:val="004B084B"/>
    <w:rsid w:val="004B4D0B"/>
    <w:rsid w:val="004B4E9F"/>
    <w:rsid w:val="004C0F4C"/>
    <w:rsid w:val="004C7215"/>
    <w:rsid w:val="004D1DBC"/>
    <w:rsid w:val="004D6CF0"/>
    <w:rsid w:val="004E0AE9"/>
    <w:rsid w:val="004E0E67"/>
    <w:rsid w:val="004E3409"/>
    <w:rsid w:val="004E386E"/>
    <w:rsid w:val="004E3BD6"/>
    <w:rsid w:val="004F722A"/>
    <w:rsid w:val="004F7DB0"/>
    <w:rsid w:val="00503F8E"/>
    <w:rsid w:val="0050402D"/>
    <w:rsid w:val="00504DB9"/>
    <w:rsid w:val="00505C32"/>
    <w:rsid w:val="00510339"/>
    <w:rsid w:val="005223BC"/>
    <w:rsid w:val="005233DE"/>
    <w:rsid w:val="00525181"/>
    <w:rsid w:val="00526A41"/>
    <w:rsid w:val="00527B4B"/>
    <w:rsid w:val="00540AAE"/>
    <w:rsid w:val="005410CD"/>
    <w:rsid w:val="00544B75"/>
    <w:rsid w:val="0054648D"/>
    <w:rsid w:val="005503AD"/>
    <w:rsid w:val="0055047D"/>
    <w:rsid w:val="00552CF3"/>
    <w:rsid w:val="005534A3"/>
    <w:rsid w:val="00554D5D"/>
    <w:rsid w:val="00562067"/>
    <w:rsid w:val="00563EF6"/>
    <w:rsid w:val="005640BD"/>
    <w:rsid w:val="00564BC9"/>
    <w:rsid w:val="0056648E"/>
    <w:rsid w:val="0057271A"/>
    <w:rsid w:val="0057481D"/>
    <w:rsid w:val="0057482F"/>
    <w:rsid w:val="00575623"/>
    <w:rsid w:val="0058178E"/>
    <w:rsid w:val="00583B6E"/>
    <w:rsid w:val="00584837"/>
    <w:rsid w:val="0059027D"/>
    <w:rsid w:val="00590585"/>
    <w:rsid w:val="005927D2"/>
    <w:rsid w:val="0059479E"/>
    <w:rsid w:val="0059758A"/>
    <w:rsid w:val="005A047B"/>
    <w:rsid w:val="005A070F"/>
    <w:rsid w:val="005A25B5"/>
    <w:rsid w:val="005A564E"/>
    <w:rsid w:val="005A5AE4"/>
    <w:rsid w:val="005B286A"/>
    <w:rsid w:val="005C0B25"/>
    <w:rsid w:val="005C10CB"/>
    <w:rsid w:val="005C1BF4"/>
    <w:rsid w:val="005C53E7"/>
    <w:rsid w:val="005C69A1"/>
    <w:rsid w:val="005D15B4"/>
    <w:rsid w:val="005D2FB7"/>
    <w:rsid w:val="005D463B"/>
    <w:rsid w:val="005E6737"/>
    <w:rsid w:val="005E7AB2"/>
    <w:rsid w:val="005F1F90"/>
    <w:rsid w:val="005F4018"/>
    <w:rsid w:val="005F5260"/>
    <w:rsid w:val="00600040"/>
    <w:rsid w:val="00600FA7"/>
    <w:rsid w:val="006044B5"/>
    <w:rsid w:val="00604CA5"/>
    <w:rsid w:val="0060579A"/>
    <w:rsid w:val="00606ACE"/>
    <w:rsid w:val="00614274"/>
    <w:rsid w:val="006145C3"/>
    <w:rsid w:val="00615818"/>
    <w:rsid w:val="00621AEC"/>
    <w:rsid w:val="00621D5C"/>
    <w:rsid w:val="006345FA"/>
    <w:rsid w:val="006365BB"/>
    <w:rsid w:val="0064068A"/>
    <w:rsid w:val="00640C3C"/>
    <w:rsid w:val="006418CA"/>
    <w:rsid w:val="0064481F"/>
    <w:rsid w:val="00647B4A"/>
    <w:rsid w:val="00655EB4"/>
    <w:rsid w:val="00655FAC"/>
    <w:rsid w:val="006569AD"/>
    <w:rsid w:val="00660E06"/>
    <w:rsid w:val="00671E04"/>
    <w:rsid w:val="00673B35"/>
    <w:rsid w:val="006747C4"/>
    <w:rsid w:val="0067638A"/>
    <w:rsid w:val="00676984"/>
    <w:rsid w:val="00681063"/>
    <w:rsid w:val="006811C1"/>
    <w:rsid w:val="006947D8"/>
    <w:rsid w:val="00694FEF"/>
    <w:rsid w:val="00696828"/>
    <w:rsid w:val="006A00A2"/>
    <w:rsid w:val="006A176C"/>
    <w:rsid w:val="006A7552"/>
    <w:rsid w:val="006A7FAE"/>
    <w:rsid w:val="006B000E"/>
    <w:rsid w:val="006B2194"/>
    <w:rsid w:val="006B407E"/>
    <w:rsid w:val="006B73AB"/>
    <w:rsid w:val="006B7856"/>
    <w:rsid w:val="006C1565"/>
    <w:rsid w:val="006C2A4A"/>
    <w:rsid w:val="006C35CC"/>
    <w:rsid w:val="006C4F04"/>
    <w:rsid w:val="006C63FB"/>
    <w:rsid w:val="006C6F8F"/>
    <w:rsid w:val="006D319F"/>
    <w:rsid w:val="006D37DA"/>
    <w:rsid w:val="006D3FE7"/>
    <w:rsid w:val="006D4538"/>
    <w:rsid w:val="006D5C0A"/>
    <w:rsid w:val="006E65F1"/>
    <w:rsid w:val="006F0635"/>
    <w:rsid w:val="006F3DCE"/>
    <w:rsid w:val="006F3FDA"/>
    <w:rsid w:val="006F499E"/>
    <w:rsid w:val="006F5588"/>
    <w:rsid w:val="00706538"/>
    <w:rsid w:val="00710760"/>
    <w:rsid w:val="00712FA7"/>
    <w:rsid w:val="007142F7"/>
    <w:rsid w:val="0071495C"/>
    <w:rsid w:val="00715B0F"/>
    <w:rsid w:val="00721D9A"/>
    <w:rsid w:val="00723B01"/>
    <w:rsid w:val="00725511"/>
    <w:rsid w:val="0072694A"/>
    <w:rsid w:val="00732E62"/>
    <w:rsid w:val="007337F1"/>
    <w:rsid w:val="00734869"/>
    <w:rsid w:val="007351D2"/>
    <w:rsid w:val="0073630F"/>
    <w:rsid w:val="00743BF1"/>
    <w:rsid w:val="00746209"/>
    <w:rsid w:val="00747398"/>
    <w:rsid w:val="007507DE"/>
    <w:rsid w:val="0075088C"/>
    <w:rsid w:val="00755DA1"/>
    <w:rsid w:val="00756308"/>
    <w:rsid w:val="00762109"/>
    <w:rsid w:val="007633FC"/>
    <w:rsid w:val="00770D10"/>
    <w:rsid w:val="00772F82"/>
    <w:rsid w:val="007753F0"/>
    <w:rsid w:val="00777DAF"/>
    <w:rsid w:val="007816B2"/>
    <w:rsid w:val="007864C8"/>
    <w:rsid w:val="007867E3"/>
    <w:rsid w:val="0078770F"/>
    <w:rsid w:val="00791800"/>
    <w:rsid w:val="007925C4"/>
    <w:rsid w:val="00792C8E"/>
    <w:rsid w:val="00794A60"/>
    <w:rsid w:val="0079645E"/>
    <w:rsid w:val="00796862"/>
    <w:rsid w:val="00797F6F"/>
    <w:rsid w:val="007A018A"/>
    <w:rsid w:val="007A664C"/>
    <w:rsid w:val="007A6C56"/>
    <w:rsid w:val="007B2E70"/>
    <w:rsid w:val="007B3947"/>
    <w:rsid w:val="007B4C12"/>
    <w:rsid w:val="007B551B"/>
    <w:rsid w:val="007C05DD"/>
    <w:rsid w:val="007C3A79"/>
    <w:rsid w:val="007D054F"/>
    <w:rsid w:val="007D6547"/>
    <w:rsid w:val="007D7E49"/>
    <w:rsid w:val="007E1762"/>
    <w:rsid w:val="007E287A"/>
    <w:rsid w:val="007E2B18"/>
    <w:rsid w:val="007E388E"/>
    <w:rsid w:val="007E4A84"/>
    <w:rsid w:val="007F4C73"/>
    <w:rsid w:val="00801B61"/>
    <w:rsid w:val="00802463"/>
    <w:rsid w:val="00802AB3"/>
    <w:rsid w:val="008060F4"/>
    <w:rsid w:val="0081569B"/>
    <w:rsid w:val="00816B09"/>
    <w:rsid w:val="00821955"/>
    <w:rsid w:val="00824F46"/>
    <w:rsid w:val="008264C5"/>
    <w:rsid w:val="00840078"/>
    <w:rsid w:val="00846CD3"/>
    <w:rsid w:val="00847D41"/>
    <w:rsid w:val="00851D82"/>
    <w:rsid w:val="00860ABA"/>
    <w:rsid w:val="00862FD5"/>
    <w:rsid w:val="00866078"/>
    <w:rsid w:val="008666D9"/>
    <w:rsid w:val="00866B14"/>
    <w:rsid w:val="00873171"/>
    <w:rsid w:val="00874A3B"/>
    <w:rsid w:val="00876174"/>
    <w:rsid w:val="00877140"/>
    <w:rsid w:val="00880D9B"/>
    <w:rsid w:val="008839B6"/>
    <w:rsid w:val="00884F71"/>
    <w:rsid w:val="008852AC"/>
    <w:rsid w:val="00885ED2"/>
    <w:rsid w:val="00892E8F"/>
    <w:rsid w:val="00893649"/>
    <w:rsid w:val="00895761"/>
    <w:rsid w:val="00895897"/>
    <w:rsid w:val="00897584"/>
    <w:rsid w:val="008A08AD"/>
    <w:rsid w:val="008A0B24"/>
    <w:rsid w:val="008A0D47"/>
    <w:rsid w:val="008A1294"/>
    <w:rsid w:val="008A2020"/>
    <w:rsid w:val="008B1A5D"/>
    <w:rsid w:val="008B4816"/>
    <w:rsid w:val="008C4458"/>
    <w:rsid w:val="008D0880"/>
    <w:rsid w:val="008D1387"/>
    <w:rsid w:val="008D539F"/>
    <w:rsid w:val="008D56F0"/>
    <w:rsid w:val="008D7FB6"/>
    <w:rsid w:val="008E1498"/>
    <w:rsid w:val="008F06EF"/>
    <w:rsid w:val="008F1007"/>
    <w:rsid w:val="008F12B4"/>
    <w:rsid w:val="008F13BE"/>
    <w:rsid w:val="008F7E8C"/>
    <w:rsid w:val="0090066F"/>
    <w:rsid w:val="009013AF"/>
    <w:rsid w:val="009032B9"/>
    <w:rsid w:val="0090501F"/>
    <w:rsid w:val="00910AAE"/>
    <w:rsid w:val="00911C90"/>
    <w:rsid w:val="00912293"/>
    <w:rsid w:val="00915CE1"/>
    <w:rsid w:val="00920244"/>
    <w:rsid w:val="00921089"/>
    <w:rsid w:val="0092228A"/>
    <w:rsid w:val="00926DFF"/>
    <w:rsid w:val="009278FE"/>
    <w:rsid w:val="009340C6"/>
    <w:rsid w:val="00935D44"/>
    <w:rsid w:val="00936903"/>
    <w:rsid w:val="00937777"/>
    <w:rsid w:val="00937CDA"/>
    <w:rsid w:val="00944572"/>
    <w:rsid w:val="00946435"/>
    <w:rsid w:val="00946928"/>
    <w:rsid w:val="00946E32"/>
    <w:rsid w:val="00951594"/>
    <w:rsid w:val="00952C7D"/>
    <w:rsid w:val="00957D96"/>
    <w:rsid w:val="009619A4"/>
    <w:rsid w:val="00961C4F"/>
    <w:rsid w:val="0096682C"/>
    <w:rsid w:val="00967B80"/>
    <w:rsid w:val="009742B9"/>
    <w:rsid w:val="00981182"/>
    <w:rsid w:val="009816C8"/>
    <w:rsid w:val="00983D3C"/>
    <w:rsid w:val="009847E6"/>
    <w:rsid w:val="00985F78"/>
    <w:rsid w:val="00986F66"/>
    <w:rsid w:val="00986FC0"/>
    <w:rsid w:val="00991D97"/>
    <w:rsid w:val="00993772"/>
    <w:rsid w:val="00995A43"/>
    <w:rsid w:val="00996DCC"/>
    <w:rsid w:val="0099770E"/>
    <w:rsid w:val="009A04DF"/>
    <w:rsid w:val="009A2A1B"/>
    <w:rsid w:val="009A3CA5"/>
    <w:rsid w:val="009A6156"/>
    <w:rsid w:val="009A6B4E"/>
    <w:rsid w:val="009A7009"/>
    <w:rsid w:val="009B05B6"/>
    <w:rsid w:val="009B2761"/>
    <w:rsid w:val="009B2B22"/>
    <w:rsid w:val="009B3340"/>
    <w:rsid w:val="009B3FE1"/>
    <w:rsid w:val="009B780E"/>
    <w:rsid w:val="009C29A0"/>
    <w:rsid w:val="009C68B2"/>
    <w:rsid w:val="009D07C3"/>
    <w:rsid w:val="009D2D1E"/>
    <w:rsid w:val="009D3F15"/>
    <w:rsid w:val="009D62C0"/>
    <w:rsid w:val="009D65A9"/>
    <w:rsid w:val="009E64CB"/>
    <w:rsid w:val="009E7437"/>
    <w:rsid w:val="009F1818"/>
    <w:rsid w:val="009F4D59"/>
    <w:rsid w:val="009F4EB8"/>
    <w:rsid w:val="009F4ED9"/>
    <w:rsid w:val="00A054F2"/>
    <w:rsid w:val="00A06A63"/>
    <w:rsid w:val="00A070CD"/>
    <w:rsid w:val="00A14AF7"/>
    <w:rsid w:val="00A1644E"/>
    <w:rsid w:val="00A27598"/>
    <w:rsid w:val="00A31B5A"/>
    <w:rsid w:val="00A33DDA"/>
    <w:rsid w:val="00A34E5A"/>
    <w:rsid w:val="00A34F68"/>
    <w:rsid w:val="00A37A25"/>
    <w:rsid w:val="00A37EE4"/>
    <w:rsid w:val="00A40B73"/>
    <w:rsid w:val="00A42416"/>
    <w:rsid w:val="00A42A60"/>
    <w:rsid w:val="00A4599A"/>
    <w:rsid w:val="00A46DCD"/>
    <w:rsid w:val="00A47110"/>
    <w:rsid w:val="00A5091D"/>
    <w:rsid w:val="00A51AC2"/>
    <w:rsid w:val="00A535DE"/>
    <w:rsid w:val="00A5499B"/>
    <w:rsid w:val="00A55666"/>
    <w:rsid w:val="00A55851"/>
    <w:rsid w:val="00A5601E"/>
    <w:rsid w:val="00A609EA"/>
    <w:rsid w:val="00A71E6B"/>
    <w:rsid w:val="00A72FDE"/>
    <w:rsid w:val="00A75AD8"/>
    <w:rsid w:val="00A8047B"/>
    <w:rsid w:val="00A9730B"/>
    <w:rsid w:val="00AA490A"/>
    <w:rsid w:val="00AA6007"/>
    <w:rsid w:val="00AA64A7"/>
    <w:rsid w:val="00AB1FF4"/>
    <w:rsid w:val="00AB3685"/>
    <w:rsid w:val="00AC0945"/>
    <w:rsid w:val="00AC1247"/>
    <w:rsid w:val="00AD0520"/>
    <w:rsid w:val="00AD2626"/>
    <w:rsid w:val="00AD3C49"/>
    <w:rsid w:val="00AD7E87"/>
    <w:rsid w:val="00AE15E8"/>
    <w:rsid w:val="00AE6BEF"/>
    <w:rsid w:val="00AE7E5D"/>
    <w:rsid w:val="00AF1258"/>
    <w:rsid w:val="00AF31D6"/>
    <w:rsid w:val="00AF4F2E"/>
    <w:rsid w:val="00B00961"/>
    <w:rsid w:val="00B045A5"/>
    <w:rsid w:val="00B11742"/>
    <w:rsid w:val="00B117F6"/>
    <w:rsid w:val="00B12346"/>
    <w:rsid w:val="00B12A1C"/>
    <w:rsid w:val="00B13ED8"/>
    <w:rsid w:val="00B144AD"/>
    <w:rsid w:val="00B14FEB"/>
    <w:rsid w:val="00B179F1"/>
    <w:rsid w:val="00B21F7D"/>
    <w:rsid w:val="00B2498C"/>
    <w:rsid w:val="00B25F7E"/>
    <w:rsid w:val="00B264EC"/>
    <w:rsid w:val="00B3156A"/>
    <w:rsid w:val="00B321D5"/>
    <w:rsid w:val="00B339D5"/>
    <w:rsid w:val="00B40B53"/>
    <w:rsid w:val="00B41A45"/>
    <w:rsid w:val="00B41E71"/>
    <w:rsid w:val="00B455EC"/>
    <w:rsid w:val="00B528CB"/>
    <w:rsid w:val="00B55BBC"/>
    <w:rsid w:val="00B60C98"/>
    <w:rsid w:val="00B64324"/>
    <w:rsid w:val="00B65F39"/>
    <w:rsid w:val="00B679A3"/>
    <w:rsid w:val="00B72D43"/>
    <w:rsid w:val="00B72FE0"/>
    <w:rsid w:val="00B74186"/>
    <w:rsid w:val="00B74F54"/>
    <w:rsid w:val="00B76437"/>
    <w:rsid w:val="00B81C1D"/>
    <w:rsid w:val="00B82406"/>
    <w:rsid w:val="00B838B4"/>
    <w:rsid w:val="00B92C05"/>
    <w:rsid w:val="00B9314B"/>
    <w:rsid w:val="00B9604D"/>
    <w:rsid w:val="00B971E8"/>
    <w:rsid w:val="00BA375B"/>
    <w:rsid w:val="00BA3D24"/>
    <w:rsid w:val="00BA4579"/>
    <w:rsid w:val="00BB330E"/>
    <w:rsid w:val="00BB4A60"/>
    <w:rsid w:val="00BB4D0E"/>
    <w:rsid w:val="00BB5CE9"/>
    <w:rsid w:val="00BB66D3"/>
    <w:rsid w:val="00BB690B"/>
    <w:rsid w:val="00BB6F70"/>
    <w:rsid w:val="00BB7DA3"/>
    <w:rsid w:val="00BC27A9"/>
    <w:rsid w:val="00BC32EC"/>
    <w:rsid w:val="00BC34DE"/>
    <w:rsid w:val="00BC46BD"/>
    <w:rsid w:val="00BC4D6D"/>
    <w:rsid w:val="00BC5136"/>
    <w:rsid w:val="00BC5BFE"/>
    <w:rsid w:val="00BD6E12"/>
    <w:rsid w:val="00BE4074"/>
    <w:rsid w:val="00BE50F5"/>
    <w:rsid w:val="00BF4A89"/>
    <w:rsid w:val="00BF642D"/>
    <w:rsid w:val="00BF663F"/>
    <w:rsid w:val="00C00419"/>
    <w:rsid w:val="00C02156"/>
    <w:rsid w:val="00C0496E"/>
    <w:rsid w:val="00C04EAF"/>
    <w:rsid w:val="00C17C42"/>
    <w:rsid w:val="00C17C69"/>
    <w:rsid w:val="00C228D7"/>
    <w:rsid w:val="00C304F2"/>
    <w:rsid w:val="00C32DE5"/>
    <w:rsid w:val="00C33342"/>
    <w:rsid w:val="00C34FCB"/>
    <w:rsid w:val="00C35EAD"/>
    <w:rsid w:val="00C41714"/>
    <w:rsid w:val="00C42823"/>
    <w:rsid w:val="00C44000"/>
    <w:rsid w:val="00C45C8F"/>
    <w:rsid w:val="00C46F3D"/>
    <w:rsid w:val="00C47234"/>
    <w:rsid w:val="00C54174"/>
    <w:rsid w:val="00C559AB"/>
    <w:rsid w:val="00C56953"/>
    <w:rsid w:val="00C571F2"/>
    <w:rsid w:val="00C60505"/>
    <w:rsid w:val="00C61A30"/>
    <w:rsid w:val="00C64671"/>
    <w:rsid w:val="00C65CB9"/>
    <w:rsid w:val="00C66659"/>
    <w:rsid w:val="00C713FF"/>
    <w:rsid w:val="00C71B4A"/>
    <w:rsid w:val="00C72C3C"/>
    <w:rsid w:val="00C72CB3"/>
    <w:rsid w:val="00C730CC"/>
    <w:rsid w:val="00C7380E"/>
    <w:rsid w:val="00C76116"/>
    <w:rsid w:val="00C8039A"/>
    <w:rsid w:val="00C81D01"/>
    <w:rsid w:val="00C82279"/>
    <w:rsid w:val="00C82BBA"/>
    <w:rsid w:val="00C82F1A"/>
    <w:rsid w:val="00C8321B"/>
    <w:rsid w:val="00C83E50"/>
    <w:rsid w:val="00C84682"/>
    <w:rsid w:val="00C8607E"/>
    <w:rsid w:val="00C91F25"/>
    <w:rsid w:val="00C920DE"/>
    <w:rsid w:val="00CA2105"/>
    <w:rsid w:val="00CA243F"/>
    <w:rsid w:val="00CA630F"/>
    <w:rsid w:val="00CB338E"/>
    <w:rsid w:val="00CC0629"/>
    <w:rsid w:val="00CC5F94"/>
    <w:rsid w:val="00CC6830"/>
    <w:rsid w:val="00CC6930"/>
    <w:rsid w:val="00CC6B4E"/>
    <w:rsid w:val="00CC7CF9"/>
    <w:rsid w:val="00CD01C2"/>
    <w:rsid w:val="00CD0B86"/>
    <w:rsid w:val="00CD571A"/>
    <w:rsid w:val="00CE6181"/>
    <w:rsid w:val="00CF0E43"/>
    <w:rsid w:val="00CF4C9E"/>
    <w:rsid w:val="00CF5757"/>
    <w:rsid w:val="00CF654B"/>
    <w:rsid w:val="00CF6B0A"/>
    <w:rsid w:val="00D00938"/>
    <w:rsid w:val="00D02C21"/>
    <w:rsid w:val="00D03FD2"/>
    <w:rsid w:val="00D11E5A"/>
    <w:rsid w:val="00D134E1"/>
    <w:rsid w:val="00D154BF"/>
    <w:rsid w:val="00D16016"/>
    <w:rsid w:val="00D171FD"/>
    <w:rsid w:val="00D17B71"/>
    <w:rsid w:val="00D17D92"/>
    <w:rsid w:val="00D3181C"/>
    <w:rsid w:val="00D32378"/>
    <w:rsid w:val="00D32972"/>
    <w:rsid w:val="00D34C17"/>
    <w:rsid w:val="00D34E25"/>
    <w:rsid w:val="00D3541A"/>
    <w:rsid w:val="00D35DC2"/>
    <w:rsid w:val="00D36730"/>
    <w:rsid w:val="00D45A92"/>
    <w:rsid w:val="00D465C4"/>
    <w:rsid w:val="00D51F26"/>
    <w:rsid w:val="00D537E2"/>
    <w:rsid w:val="00D54221"/>
    <w:rsid w:val="00D55CE1"/>
    <w:rsid w:val="00D5728A"/>
    <w:rsid w:val="00D621DC"/>
    <w:rsid w:val="00D63721"/>
    <w:rsid w:val="00D63BA8"/>
    <w:rsid w:val="00D642A0"/>
    <w:rsid w:val="00D64B71"/>
    <w:rsid w:val="00D65088"/>
    <w:rsid w:val="00D67EBE"/>
    <w:rsid w:val="00D7557C"/>
    <w:rsid w:val="00D7643C"/>
    <w:rsid w:val="00D76451"/>
    <w:rsid w:val="00D76647"/>
    <w:rsid w:val="00D81766"/>
    <w:rsid w:val="00D82535"/>
    <w:rsid w:val="00D83A1C"/>
    <w:rsid w:val="00D83EE9"/>
    <w:rsid w:val="00D842EA"/>
    <w:rsid w:val="00D90C4B"/>
    <w:rsid w:val="00D9612D"/>
    <w:rsid w:val="00D96D9D"/>
    <w:rsid w:val="00D96EF8"/>
    <w:rsid w:val="00DA094E"/>
    <w:rsid w:val="00DA2EA0"/>
    <w:rsid w:val="00DA5AB3"/>
    <w:rsid w:val="00DA6BDF"/>
    <w:rsid w:val="00DB1A27"/>
    <w:rsid w:val="00DB4791"/>
    <w:rsid w:val="00DC5786"/>
    <w:rsid w:val="00DC69A9"/>
    <w:rsid w:val="00DC6CF0"/>
    <w:rsid w:val="00DC79AA"/>
    <w:rsid w:val="00DD0D31"/>
    <w:rsid w:val="00DD3B10"/>
    <w:rsid w:val="00DD49F2"/>
    <w:rsid w:val="00DD6264"/>
    <w:rsid w:val="00DD77BE"/>
    <w:rsid w:val="00DE0DA4"/>
    <w:rsid w:val="00DE4EE5"/>
    <w:rsid w:val="00DF290A"/>
    <w:rsid w:val="00DF2B96"/>
    <w:rsid w:val="00DF5D91"/>
    <w:rsid w:val="00E02511"/>
    <w:rsid w:val="00E02E7D"/>
    <w:rsid w:val="00E0423F"/>
    <w:rsid w:val="00E04936"/>
    <w:rsid w:val="00E10CB9"/>
    <w:rsid w:val="00E12691"/>
    <w:rsid w:val="00E147E8"/>
    <w:rsid w:val="00E2075F"/>
    <w:rsid w:val="00E21633"/>
    <w:rsid w:val="00E2296E"/>
    <w:rsid w:val="00E31B6C"/>
    <w:rsid w:val="00E32658"/>
    <w:rsid w:val="00E34D16"/>
    <w:rsid w:val="00E36853"/>
    <w:rsid w:val="00E4004C"/>
    <w:rsid w:val="00E4021C"/>
    <w:rsid w:val="00E40624"/>
    <w:rsid w:val="00E40EC4"/>
    <w:rsid w:val="00E43CF8"/>
    <w:rsid w:val="00E44981"/>
    <w:rsid w:val="00E45274"/>
    <w:rsid w:val="00E46EDF"/>
    <w:rsid w:val="00E478B5"/>
    <w:rsid w:val="00E510F6"/>
    <w:rsid w:val="00E515FA"/>
    <w:rsid w:val="00E520CD"/>
    <w:rsid w:val="00E54AF4"/>
    <w:rsid w:val="00E5597A"/>
    <w:rsid w:val="00E64B7E"/>
    <w:rsid w:val="00E656AE"/>
    <w:rsid w:val="00E71579"/>
    <w:rsid w:val="00E80ABC"/>
    <w:rsid w:val="00E80B0F"/>
    <w:rsid w:val="00E80D29"/>
    <w:rsid w:val="00E82939"/>
    <w:rsid w:val="00E82B4D"/>
    <w:rsid w:val="00E840C1"/>
    <w:rsid w:val="00E87231"/>
    <w:rsid w:val="00E8770D"/>
    <w:rsid w:val="00E91680"/>
    <w:rsid w:val="00E9276E"/>
    <w:rsid w:val="00E9385B"/>
    <w:rsid w:val="00E96E4E"/>
    <w:rsid w:val="00E97CA7"/>
    <w:rsid w:val="00E97DA4"/>
    <w:rsid w:val="00EA00B3"/>
    <w:rsid w:val="00EA1890"/>
    <w:rsid w:val="00EA2980"/>
    <w:rsid w:val="00EA2CEE"/>
    <w:rsid w:val="00EB22AD"/>
    <w:rsid w:val="00EB3A60"/>
    <w:rsid w:val="00EC1928"/>
    <w:rsid w:val="00EC393E"/>
    <w:rsid w:val="00EC407C"/>
    <w:rsid w:val="00EC496F"/>
    <w:rsid w:val="00EC78C4"/>
    <w:rsid w:val="00EC7CA1"/>
    <w:rsid w:val="00ED2AF0"/>
    <w:rsid w:val="00ED3E39"/>
    <w:rsid w:val="00ED4381"/>
    <w:rsid w:val="00ED57FA"/>
    <w:rsid w:val="00ED70B6"/>
    <w:rsid w:val="00ED7280"/>
    <w:rsid w:val="00EE2CFD"/>
    <w:rsid w:val="00EE5023"/>
    <w:rsid w:val="00EE5E12"/>
    <w:rsid w:val="00EE7184"/>
    <w:rsid w:val="00EF07A4"/>
    <w:rsid w:val="00EF0BA0"/>
    <w:rsid w:val="00EF103D"/>
    <w:rsid w:val="00EF12B8"/>
    <w:rsid w:val="00EF2509"/>
    <w:rsid w:val="00EF54B3"/>
    <w:rsid w:val="00EF7AEE"/>
    <w:rsid w:val="00F01042"/>
    <w:rsid w:val="00F04F71"/>
    <w:rsid w:val="00F050A1"/>
    <w:rsid w:val="00F052D9"/>
    <w:rsid w:val="00F07BE1"/>
    <w:rsid w:val="00F101E7"/>
    <w:rsid w:val="00F12D7A"/>
    <w:rsid w:val="00F13C4C"/>
    <w:rsid w:val="00F15169"/>
    <w:rsid w:val="00F30521"/>
    <w:rsid w:val="00F35247"/>
    <w:rsid w:val="00F3528D"/>
    <w:rsid w:val="00F40078"/>
    <w:rsid w:val="00F40D67"/>
    <w:rsid w:val="00F44C21"/>
    <w:rsid w:val="00F45119"/>
    <w:rsid w:val="00F46BE0"/>
    <w:rsid w:val="00F476D6"/>
    <w:rsid w:val="00F5015A"/>
    <w:rsid w:val="00F50EAA"/>
    <w:rsid w:val="00F56EAD"/>
    <w:rsid w:val="00F57DE7"/>
    <w:rsid w:val="00F6295B"/>
    <w:rsid w:val="00F643B5"/>
    <w:rsid w:val="00F6639F"/>
    <w:rsid w:val="00F67681"/>
    <w:rsid w:val="00F701F4"/>
    <w:rsid w:val="00F704EC"/>
    <w:rsid w:val="00F71B5F"/>
    <w:rsid w:val="00F720AA"/>
    <w:rsid w:val="00F73512"/>
    <w:rsid w:val="00F77F48"/>
    <w:rsid w:val="00F80FC8"/>
    <w:rsid w:val="00F82152"/>
    <w:rsid w:val="00F8536E"/>
    <w:rsid w:val="00F8661A"/>
    <w:rsid w:val="00F87A9F"/>
    <w:rsid w:val="00F97D3C"/>
    <w:rsid w:val="00FA157A"/>
    <w:rsid w:val="00FA5D15"/>
    <w:rsid w:val="00FA5F87"/>
    <w:rsid w:val="00FC053C"/>
    <w:rsid w:val="00FC09CB"/>
    <w:rsid w:val="00FC49EA"/>
    <w:rsid w:val="00FC731B"/>
    <w:rsid w:val="00FC7922"/>
    <w:rsid w:val="00FD5372"/>
    <w:rsid w:val="00FD68F6"/>
    <w:rsid w:val="00FD7741"/>
    <w:rsid w:val="00FE3896"/>
    <w:rsid w:val="00FE52E3"/>
    <w:rsid w:val="00FE53C4"/>
    <w:rsid w:val="00FE5929"/>
    <w:rsid w:val="00FF2D5E"/>
    <w:rsid w:val="00FF47D7"/>
    <w:rsid w:val="00FF5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BEBD"/>
  <w15:docId w15:val="{0CB2EBB0-D321-45D1-9724-44630DB5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BE0"/>
    <w:pPr>
      <w:spacing w:after="0" w:line="48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D25"/>
    <w:pPr>
      <w:keepNext/>
      <w:keepLines/>
      <w:spacing w:before="360" w:after="80"/>
      <w:outlineLvl w:val="0"/>
    </w:pPr>
    <w:rPr>
      <w:rFonts w:eastAsiaTheme="majorEastAsia" w:cstheme="majorBidi"/>
      <w:b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25"/>
    <w:pPr>
      <w:keepNext/>
      <w:keepLines/>
      <w:spacing w:before="160" w:after="80"/>
      <w:outlineLvl w:val="1"/>
    </w:pPr>
    <w:rPr>
      <w:rFonts w:eastAsiaTheme="majorEastAsia" w:cstheme="majorBidi"/>
      <w:b/>
      <w:i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D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D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D25"/>
    <w:pPr>
      <w:ind w:left="720"/>
      <w:contextualSpacing/>
    </w:pPr>
    <w:rPr>
      <w:rFonts w:eastAsiaTheme="minorHAnsi"/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26D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D25"/>
    <w:rPr>
      <w:rFonts w:ascii="Times New Roman" w:eastAsiaTheme="minorEastAsia" w:hAnsi="Times New Roman" w:cs="Times New Roman"/>
      <w:kern w:val="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1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800"/>
  </w:style>
  <w:style w:type="character" w:customStyle="1" w:styleId="Heading3Char">
    <w:name w:val="Heading 3 Char"/>
    <w:basedOn w:val="DefaultParagraphFont"/>
    <w:link w:val="Heading3"/>
    <w:uiPriority w:val="9"/>
    <w:semiHidden/>
    <w:rsid w:val="00226D25"/>
    <w:rPr>
      <w:rFonts w:eastAsiaTheme="majorEastAsia" w:cstheme="majorBidi"/>
      <w:color w:val="2F5496" w:themeColor="accent1" w:themeShade="BF"/>
      <w:sz w:val="28"/>
      <w:szCs w:val="28"/>
      <w:lang w:val="en-US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unhideWhenUsed/>
    <w:rsid w:val="00226D25"/>
  </w:style>
  <w:style w:type="character" w:customStyle="1" w:styleId="FootnoteTextChar">
    <w:name w:val="Footnote Text Char"/>
    <w:basedOn w:val="DefaultParagraphFont"/>
    <w:link w:val="FootnoteText"/>
    <w:uiPriority w:val="99"/>
    <w:rsid w:val="00226D25"/>
    <w:rPr>
      <w:rFonts w:ascii="Times New Roman" w:eastAsiaTheme="minorEastAsia" w:hAnsi="Times New Roman" w:cs="Times New Roman"/>
      <w:kern w:val="0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306D1C"/>
    <w:rPr>
      <w:rFonts w:ascii="Times New Roman" w:hAnsi="Times New Roman"/>
      <w:vertAlign w:val="superscript"/>
    </w:rPr>
  </w:style>
  <w:style w:type="paragraph" w:styleId="Revision">
    <w:name w:val="Revision"/>
    <w:hidden/>
    <w:uiPriority w:val="99"/>
    <w:semiHidden/>
    <w:rsid w:val="0032237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26D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D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D25"/>
    <w:rPr>
      <w:rFonts w:ascii="Times New Roman" w:eastAsiaTheme="minorEastAsia" w:hAnsi="Times New Roman" w:cs="Times New Roman"/>
      <w:kern w:val="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D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D25"/>
    <w:rPr>
      <w:rFonts w:ascii="Times New Roman" w:eastAsiaTheme="minorEastAsia" w:hAnsi="Times New Roman" w:cs="Times New Roman"/>
      <w:b/>
      <w:bCs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738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80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C0F4C"/>
    <w:pPr>
      <w:spacing w:after="80" w:line="240" w:lineRule="auto"/>
      <w:contextualSpacing/>
      <w:jc w:val="center"/>
    </w:pPr>
    <w:rPr>
      <w:rFonts w:eastAsiaTheme="majorEastAsia" w:cstheme="majorBidi"/>
      <w:b/>
      <w:kern w:val="28"/>
      <w:sz w:val="3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0F4C"/>
    <w:rPr>
      <w:rFonts w:ascii="Times New Roman" w:eastAsiaTheme="majorEastAsia" w:hAnsi="Times New Roman" w:cstheme="majorBidi"/>
      <w:b/>
      <w:kern w:val="28"/>
      <w:sz w:val="36"/>
      <w:szCs w:val="56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226D25"/>
    <w:rPr>
      <w:rFonts w:ascii="Times New Roman" w:eastAsiaTheme="majorEastAsia" w:hAnsi="Times New Roman" w:cstheme="majorBidi"/>
      <w:b/>
      <w:sz w:val="32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26D25"/>
    <w:rPr>
      <w:rFonts w:ascii="Times New Roman" w:eastAsiaTheme="majorEastAsia" w:hAnsi="Times New Roman" w:cstheme="majorBidi"/>
      <w:b/>
      <w:i/>
      <w:sz w:val="28"/>
      <w:szCs w:val="32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D25"/>
    <w:rPr>
      <w:rFonts w:eastAsiaTheme="majorEastAsia" w:cstheme="majorBidi"/>
      <w:i/>
      <w:iCs/>
      <w:color w:val="2F5496" w:themeColor="accent1" w:themeShade="BF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25"/>
    <w:rPr>
      <w:rFonts w:eastAsiaTheme="majorEastAsia" w:cstheme="majorBidi"/>
      <w:color w:val="2F5496" w:themeColor="accent1" w:themeShade="BF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25"/>
    <w:rPr>
      <w:rFonts w:eastAsiaTheme="majorEastAsia" w:cstheme="majorBidi"/>
      <w:i/>
      <w:iCs/>
      <w:color w:val="595959" w:themeColor="text1" w:themeTint="A6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25"/>
    <w:rPr>
      <w:rFonts w:eastAsiaTheme="majorEastAsia" w:cstheme="majorBidi"/>
      <w:color w:val="595959" w:themeColor="text1" w:themeTint="A6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25"/>
    <w:rPr>
      <w:rFonts w:eastAsiaTheme="majorEastAsia" w:cstheme="majorBidi"/>
      <w:i/>
      <w:iCs/>
      <w:color w:val="272727" w:themeColor="text1" w:themeTint="D8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25"/>
    <w:rPr>
      <w:rFonts w:eastAsiaTheme="majorEastAsia" w:cstheme="majorBidi"/>
      <w:color w:val="272727" w:themeColor="text1" w:themeTint="D8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6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25"/>
    <w:rPr>
      <w:rFonts w:ascii="Times New Roman" w:hAnsi="Times New Roman" w:cs="Times New Roman"/>
      <w:i/>
      <w:iCs/>
      <w:color w:val="2F5496" w:themeColor="accent1" w:themeShade="BF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226D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D25"/>
    <w:pPr>
      <w:spacing w:before="100" w:beforeAutospacing="1" w:after="100" w:afterAutospacing="1"/>
    </w:pPr>
    <w:rPr>
      <w:rFonts w:eastAsia="Times New Roman"/>
    </w:rPr>
  </w:style>
  <w:style w:type="character" w:styleId="PageNumber">
    <w:name w:val="page number"/>
    <w:basedOn w:val="DefaultParagraphFont"/>
    <w:uiPriority w:val="99"/>
    <w:semiHidden/>
    <w:unhideWhenUsed/>
    <w:rsid w:val="00226D25"/>
  </w:style>
  <w:style w:type="paragraph" w:styleId="Quote">
    <w:name w:val="Quote"/>
    <w:basedOn w:val="Normal"/>
    <w:next w:val="Normal"/>
    <w:link w:val="QuoteChar"/>
    <w:uiPriority w:val="29"/>
    <w:qFormat/>
    <w:rsid w:val="00226D25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D25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25"/>
    <w:pPr>
      <w:numPr>
        <w:ilvl w:val="1"/>
      </w:numPr>
      <w:spacing w:after="160"/>
      <w:jc w:val="center"/>
    </w:pPr>
    <w:rPr>
      <w:rFonts w:eastAsiaTheme="majorEastAsia" w:cstheme="majorBidi"/>
      <w:b/>
      <w:color w:val="000000" w:themeColor="text1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6D25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tosmt.org/issues/mto.22.28.2/mto.22.28.2.hutchinsonpoo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C952F-CAED-427E-88EC-359DA7D0A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3395</Words>
  <Characters>19352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Bakulina, Prof.</dc:creator>
  <cp:keywords/>
  <dc:description/>
  <cp:lastModifiedBy>Segall, Christopher (segallcr)</cp:lastModifiedBy>
  <cp:revision>34</cp:revision>
  <cp:lastPrinted>2025-09-18T13:14:00Z</cp:lastPrinted>
  <dcterms:created xsi:type="dcterms:W3CDTF">2025-10-19T00:22:00Z</dcterms:created>
  <dcterms:modified xsi:type="dcterms:W3CDTF">2025-12-18T18:10:00Z</dcterms:modified>
</cp:coreProperties>
</file>