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F39770" w14:textId="77777777" w:rsidR="00285029" w:rsidRDefault="00285029" w:rsidP="00285029">
      <w:pPr>
        <w:rPr>
          <w:rFonts w:eastAsia="Times New Roman"/>
        </w:rPr>
      </w:pPr>
      <w:r>
        <w:rPr>
          <w:rFonts w:eastAsia="Times New Roman"/>
        </w:rPr>
        <w:t>...</w:t>
      </w:r>
    </w:p>
    <w:p w14:paraId="1F0591FC" w14:textId="77777777" w:rsidR="00285029" w:rsidRDefault="00285029" w:rsidP="00285029">
      <w:pPr>
        <w:rPr>
          <w:rFonts w:eastAsia="Times New Roman"/>
        </w:rPr>
      </w:pPr>
      <w:r>
        <w:rPr>
          <w:rFonts w:eastAsia="Times New Roman"/>
        </w:rPr>
        <w:t>As you’ll see in the attached reports, Reviewer 1 feels that this is a “fantastic article” and only suggests a few minor revisions. In contrast, Reviewer 2 sees a lot of promise in the article but ultimately feels that a further revision is called for. In particular, Reviewer 2 hopes that a revision of the article would better highlight the main argument and keep that as a consistent focal point throughout to orient the reader. Reviewer 2 also has a few particular details that they feel should be rethought. Generally speaking, this is a pretty good response for an initial submission, so I hope you take this as good news. Given the feedback from the reviewers, our official decision on your submission is “Revise and Resubmit” (which we highly encourage you to do!).</w:t>
      </w:r>
    </w:p>
    <w:p w14:paraId="33BE3269" w14:textId="77777777" w:rsidR="00285029" w:rsidRDefault="00285029" w:rsidP="00285029">
      <w:pPr>
        <w:rPr>
          <w:rFonts w:eastAsia="Times New Roman"/>
        </w:rPr>
      </w:pPr>
    </w:p>
    <w:p w14:paraId="22A0B306" w14:textId="77777777" w:rsidR="00285029" w:rsidRDefault="00285029" w:rsidP="00285029">
      <w:pPr>
        <w:rPr>
          <w:rFonts w:eastAsia="Times New Roman"/>
        </w:rPr>
      </w:pPr>
    </w:p>
    <w:p w14:paraId="0A00AE99" w14:textId="77777777" w:rsidR="00285029" w:rsidRDefault="00285029" w:rsidP="00285029">
      <w:pPr>
        <w:rPr>
          <w:rFonts w:eastAsia="Times New Roman"/>
        </w:rPr>
      </w:pPr>
      <w:r>
        <w:rPr>
          <w:rFonts w:eastAsia="Times New Roman"/>
        </w:rPr>
        <w:t>===Thanks very much for this summary of the reports. It is nice to hear praise of one’s work; it is surely useful to hear constructive criticism. I have thoroughly revised the article based on the reviewers’ concerns—this is a major overhaul of the original submission. I have framed the analysis in clearer argumentative terms; have largely shifted away from the view of “schemata-within-</w:t>
      </w:r>
      <w:proofErr w:type="spellStart"/>
      <w:r>
        <w:rPr>
          <w:rFonts w:eastAsia="Times New Roman"/>
        </w:rPr>
        <w:t>form”to</w:t>
      </w:r>
      <w:proofErr w:type="spellEnd"/>
      <w:r>
        <w:rPr>
          <w:rFonts w:eastAsia="Times New Roman"/>
        </w:rPr>
        <w:t xml:space="preserve"> Burstein’s (2020) neo-</w:t>
      </w:r>
      <w:proofErr w:type="spellStart"/>
      <w:r>
        <w:rPr>
          <w:rFonts w:eastAsia="Times New Roman"/>
        </w:rPr>
        <w:t>Kochian</w:t>
      </w:r>
      <w:proofErr w:type="spellEnd"/>
      <w:r>
        <w:rPr>
          <w:rFonts w:eastAsia="Times New Roman"/>
        </w:rPr>
        <w:t xml:space="preserve"> views; I have expanded on the speculation that Bach might be reacting to </w:t>
      </w:r>
      <w:proofErr w:type="spellStart"/>
      <w:r>
        <w:rPr>
          <w:rFonts w:eastAsia="Times New Roman"/>
        </w:rPr>
        <w:t>Kirnberger</w:t>
      </w:r>
      <w:proofErr w:type="spellEnd"/>
      <w:r>
        <w:rPr>
          <w:rFonts w:eastAsia="Times New Roman"/>
        </w:rPr>
        <w:t xml:space="preserve"> in a kind of hidden theoretical commentary (on key relations, metric metaphors, as well as essential and nonessential dissonance). I have also addressed analytical inaccuracies pointed out by the reviewers. </w:t>
      </w:r>
    </w:p>
    <w:p w14:paraId="5736C6A6" w14:textId="77777777" w:rsidR="00285029" w:rsidRDefault="00285029" w:rsidP="00285029">
      <w:pPr>
        <w:rPr>
          <w:rFonts w:eastAsia="Times New Roman"/>
        </w:rPr>
      </w:pPr>
      <w:r>
        <w:rPr>
          <w:rFonts w:eastAsia="Times New Roman"/>
        </w:rPr>
        <w:t>===I have maintained an ad hoc and eclectic usage of analytical tools rather than a purely historically-informed approach and framed the article as such: this may be more self-indulgent than a purely historically-informed analysis, but I believe that such an eclectic (and perhaps more “presentist”) approach has its place and may appeal to various kinds of analytical readers.</w:t>
      </w:r>
    </w:p>
    <w:p w14:paraId="6B6FA871" w14:textId="77777777" w:rsidR="00285029" w:rsidRDefault="00285029" w:rsidP="00285029">
      <w:pPr>
        <w:rPr>
          <w:rFonts w:eastAsia="Times New Roman"/>
        </w:rPr>
      </w:pPr>
      <w:r>
        <w:rPr>
          <w:rFonts w:eastAsia="Times New Roman"/>
        </w:rPr>
        <w:t>==The article has been re-organized as closer to a “blow-by-blow” reading of the first movement exposition. This is somewhat complicated by the Bach-</w:t>
      </w:r>
      <w:proofErr w:type="spellStart"/>
      <w:r>
        <w:rPr>
          <w:rFonts w:eastAsia="Times New Roman"/>
        </w:rPr>
        <w:t>Kirnberger</w:t>
      </w:r>
      <w:proofErr w:type="spellEnd"/>
      <w:r>
        <w:rPr>
          <w:rFonts w:eastAsia="Times New Roman"/>
        </w:rPr>
        <w:t xml:space="preserve"> thread and I would be open to reconfiguring things editorially at a later stage.</w:t>
      </w:r>
    </w:p>
    <w:p w14:paraId="359DE499" w14:textId="77777777" w:rsidR="00285029" w:rsidRDefault="00285029" w:rsidP="00285029">
      <w:pPr>
        <w:rPr>
          <w:rFonts w:eastAsia="Times New Roman"/>
        </w:rPr>
      </w:pPr>
    </w:p>
    <w:p w14:paraId="05578A7E" w14:textId="77777777" w:rsidR="00285029" w:rsidRDefault="00285029" w:rsidP="00285029">
      <w:pPr>
        <w:rPr>
          <w:rFonts w:eastAsia="Times New Roman"/>
        </w:rPr>
      </w:pPr>
      <w:r>
        <w:rPr>
          <w:rFonts w:eastAsia="Times New Roman"/>
        </w:rPr>
        <w:t>If you decide to revise and resubmit, our policy at Theory and Practice requires a point-by-point response to both reports, indicating what you have changed or why you decided not to change something. You can intersperse your comments in the reports, using some formatting method (e.g., italics, indentation, text color) to clearly differentiate between the original comments and your response. We will be happy to receive the revised article and response whenever they are ready. We have no set timeline or date by which we expect the revisions to be complete.</w:t>
      </w:r>
    </w:p>
    <w:p w14:paraId="0A68AD23" w14:textId="77777777" w:rsidR="00285029" w:rsidRDefault="00285029" w:rsidP="00285029">
      <w:pPr>
        <w:rPr>
          <w:rFonts w:eastAsia="Times New Roman"/>
        </w:rPr>
      </w:pPr>
      <w:r>
        <w:rPr>
          <w:rFonts w:eastAsia="Times New Roman"/>
        </w:rPr>
        <w:t>===Thank you. I have created a point-by-point report on both reviews below. My statements always begin with === and are also Italicized.</w:t>
      </w:r>
    </w:p>
    <w:p w14:paraId="6CC6D561" w14:textId="77777777" w:rsidR="00285029" w:rsidRDefault="00285029" w:rsidP="00285029">
      <w:pPr>
        <w:rPr>
          <w:rFonts w:eastAsia="Times New Roman"/>
        </w:rPr>
      </w:pPr>
    </w:p>
    <w:p w14:paraId="22F4D6E3" w14:textId="77777777" w:rsidR="00285029" w:rsidRDefault="00285029" w:rsidP="00285029">
      <w:pPr>
        <w:rPr>
          <w:rFonts w:eastAsia="Times New Roman"/>
        </w:rPr>
      </w:pPr>
      <w:r>
        <w:rPr>
          <w:rFonts w:eastAsia="Times New Roman"/>
        </w:rPr>
        <w:t>Please don't hesitate to let us know if you have any questions or concerns, whether related to the process or the reviewers’ comments. Thank you again for considering Theory and Practice as a home for your scholarship, and we look forward to seeing your revised version.</w:t>
      </w:r>
    </w:p>
    <w:p w14:paraId="25E4847B" w14:textId="77777777" w:rsidR="00285029" w:rsidRDefault="00285029" w:rsidP="00285029">
      <w:pPr>
        <w:rPr>
          <w:rFonts w:eastAsia="Times New Roman"/>
        </w:rPr>
      </w:pPr>
    </w:p>
    <w:p w14:paraId="4ABB1722" w14:textId="77777777" w:rsidR="00285029" w:rsidRDefault="00285029" w:rsidP="00285029">
      <w:pPr>
        <w:rPr>
          <w:rFonts w:eastAsia="Times New Roman"/>
        </w:rPr>
      </w:pPr>
      <w:r>
        <w:rPr>
          <w:rFonts w:eastAsia="Times New Roman"/>
        </w:rPr>
        <w:t>…</w:t>
      </w:r>
    </w:p>
    <w:p w14:paraId="067352E4" w14:textId="77777777" w:rsidR="00285029" w:rsidRDefault="00285029" w:rsidP="00285029">
      <w:pPr>
        <w:rPr>
          <w:rFonts w:eastAsia="Times New Roman"/>
        </w:rPr>
      </w:pPr>
    </w:p>
    <w:p w14:paraId="113F98A6" w14:textId="77777777" w:rsidR="00285029" w:rsidRDefault="00285029" w:rsidP="00285029">
      <w:pPr>
        <w:rPr>
          <w:rFonts w:eastAsia="Times New Roman"/>
        </w:rPr>
      </w:pPr>
      <w:r>
        <w:rPr>
          <w:rFonts w:eastAsia="Times New Roman"/>
        </w:rPr>
        <w:t>Reviewer 1</w:t>
      </w:r>
    </w:p>
    <w:p w14:paraId="4FCFC509" w14:textId="77777777" w:rsidR="00285029" w:rsidRDefault="00285029" w:rsidP="00285029">
      <w:pPr>
        <w:rPr>
          <w:rFonts w:eastAsia="Times New Roman"/>
        </w:rPr>
      </w:pPr>
      <w:r>
        <w:rPr>
          <w:rFonts w:eastAsia="Times New Roman"/>
        </w:rPr>
        <w:t>Article Summary</w:t>
      </w:r>
    </w:p>
    <w:p w14:paraId="70C6D4F7" w14:textId="77777777" w:rsidR="00285029" w:rsidRDefault="00285029" w:rsidP="00285029">
      <w:pPr>
        <w:rPr>
          <w:rFonts w:eastAsia="Times New Roman"/>
        </w:rPr>
      </w:pPr>
    </w:p>
    <w:p w14:paraId="16E4FAC0" w14:textId="77777777" w:rsidR="00285029" w:rsidRDefault="00285029" w:rsidP="00285029">
      <w:pPr>
        <w:rPr>
          <w:rFonts w:eastAsia="Times New Roman"/>
        </w:rPr>
      </w:pPr>
      <w:r>
        <w:rPr>
          <w:rFonts w:eastAsia="Times New Roman"/>
        </w:rPr>
        <w:t xml:space="preserve">This article analyzes the rhythm, meter, harmony, Galant </w:t>
      </w:r>
      <w:proofErr w:type="spellStart"/>
      <w:r>
        <w:rPr>
          <w:rFonts w:eastAsia="Times New Roman"/>
        </w:rPr>
        <w:t>schematas</w:t>
      </w:r>
      <w:proofErr w:type="spellEnd"/>
      <w:r>
        <w:rPr>
          <w:rFonts w:eastAsia="Times New Roman"/>
        </w:rPr>
        <w:t>, and form in C. P. E. Bach’s</w:t>
      </w:r>
    </w:p>
    <w:p w14:paraId="69744455" w14:textId="77777777" w:rsidR="00285029" w:rsidRDefault="00285029" w:rsidP="00285029">
      <w:pPr>
        <w:rPr>
          <w:rFonts w:eastAsia="Times New Roman"/>
        </w:rPr>
      </w:pPr>
      <w:r>
        <w:rPr>
          <w:rFonts w:eastAsia="Times New Roman"/>
        </w:rPr>
        <w:t xml:space="preserve">Symphony in D major, </w:t>
      </w:r>
      <w:proofErr w:type="spellStart"/>
      <w:r>
        <w:rPr>
          <w:rFonts w:eastAsia="Times New Roman"/>
        </w:rPr>
        <w:t>Wq</w:t>
      </w:r>
      <w:proofErr w:type="spellEnd"/>
      <w:r>
        <w:rPr>
          <w:rFonts w:eastAsia="Times New Roman"/>
        </w:rPr>
        <w:t>. 183/1 (of 1775 or 1776). The author argues that Bach manipulates</w:t>
      </w:r>
    </w:p>
    <w:p w14:paraId="2C6E4DA4" w14:textId="77777777" w:rsidR="00285029" w:rsidRDefault="00285029" w:rsidP="00285029">
      <w:pPr>
        <w:rPr>
          <w:rFonts w:eastAsia="Times New Roman"/>
        </w:rPr>
      </w:pPr>
      <w:r>
        <w:rPr>
          <w:rFonts w:eastAsia="Times New Roman"/>
        </w:rPr>
        <w:t>both meter finding and key finding to create harmonic what Bach refers to “rational deceptions” in his instructions for improvising a keyboard fantasy. The author offers an ad hoc, multiparametric analysis of this idiosyncratic piece, explaining its metric, tonal, schematic, and formal manipulations, and reflecting on how the work moves from ambiguity to clarity in each domain.</w:t>
      </w:r>
    </w:p>
    <w:p w14:paraId="1EA56179" w14:textId="77777777" w:rsidR="00285029" w:rsidRDefault="00285029" w:rsidP="00285029">
      <w:pPr>
        <w:rPr>
          <w:rFonts w:eastAsia="Times New Roman"/>
        </w:rPr>
      </w:pPr>
    </w:p>
    <w:p w14:paraId="49993114" w14:textId="77777777" w:rsidR="00285029" w:rsidRDefault="00285029" w:rsidP="00285029">
      <w:pPr>
        <w:rPr>
          <w:rFonts w:eastAsia="Times New Roman"/>
        </w:rPr>
      </w:pPr>
      <w:r>
        <w:rPr>
          <w:rFonts w:eastAsia="Times New Roman"/>
        </w:rPr>
        <w:t>Overall Evaluation: Accept with revisions</w:t>
      </w:r>
    </w:p>
    <w:p w14:paraId="14FCA91B" w14:textId="77777777" w:rsidR="00285029" w:rsidRDefault="00285029" w:rsidP="00285029">
      <w:pPr>
        <w:rPr>
          <w:rFonts w:eastAsia="Times New Roman"/>
        </w:rPr>
      </w:pPr>
    </w:p>
    <w:p w14:paraId="3BF0264F" w14:textId="77777777" w:rsidR="00285029" w:rsidRDefault="00285029" w:rsidP="00285029">
      <w:pPr>
        <w:rPr>
          <w:rFonts w:eastAsia="Times New Roman"/>
        </w:rPr>
      </w:pPr>
      <w:r>
        <w:rPr>
          <w:rFonts w:eastAsia="Times New Roman"/>
        </w:rPr>
        <w:t>Comments</w:t>
      </w:r>
    </w:p>
    <w:p w14:paraId="06FA72B4" w14:textId="77777777" w:rsidR="00285029" w:rsidRDefault="00285029" w:rsidP="00285029">
      <w:pPr>
        <w:rPr>
          <w:rFonts w:eastAsia="Times New Roman"/>
        </w:rPr>
      </w:pPr>
      <w:r>
        <w:rPr>
          <w:rFonts w:eastAsia="Times New Roman"/>
        </w:rPr>
        <w:t>This is a fantastic article that only needs a few minor revisions to be published. What follows is a list of those minor revisions.</w:t>
      </w:r>
    </w:p>
    <w:p w14:paraId="510F1A3D" w14:textId="77777777" w:rsidR="00285029" w:rsidRDefault="00285029" w:rsidP="00285029">
      <w:pPr>
        <w:rPr>
          <w:rFonts w:eastAsia="Times New Roman"/>
        </w:rPr>
      </w:pPr>
    </w:p>
    <w:p w14:paraId="4B6E6E80" w14:textId="77777777" w:rsidR="00285029" w:rsidRDefault="00285029" w:rsidP="00285029">
      <w:pPr>
        <w:rPr>
          <w:rFonts w:eastAsia="Times New Roman"/>
        </w:rPr>
      </w:pPr>
      <w:r>
        <w:rPr>
          <w:rFonts w:eastAsia="Times New Roman"/>
        </w:rPr>
        <w:t>Page 9, line 8: The author should avoid using the term "stepwise" to refer to adjacent motions</w:t>
      </w:r>
    </w:p>
    <w:p w14:paraId="66920442" w14:textId="77777777" w:rsidR="00285029" w:rsidRDefault="00285029" w:rsidP="00285029">
      <w:pPr>
        <w:rPr>
          <w:rFonts w:eastAsia="Times New Roman"/>
        </w:rPr>
      </w:pPr>
      <w:r>
        <w:rPr>
          <w:rFonts w:eastAsia="Times New Roman"/>
        </w:rPr>
        <w:t>within a space of only three or four notes, since our readers will have such a strong association</w:t>
      </w:r>
    </w:p>
    <w:p w14:paraId="0ABA3710" w14:textId="77777777" w:rsidR="00285029" w:rsidRDefault="00285029" w:rsidP="00285029">
      <w:pPr>
        <w:rPr>
          <w:rFonts w:eastAsia="Times New Roman"/>
        </w:rPr>
      </w:pPr>
      <w:r>
        <w:rPr>
          <w:rFonts w:eastAsia="Times New Roman"/>
        </w:rPr>
        <w:t>between "stepwise motions" and spaces that have six or more notes.</w:t>
      </w:r>
    </w:p>
    <w:p w14:paraId="24DF278C" w14:textId="77777777" w:rsidR="00285029" w:rsidRDefault="00285029" w:rsidP="00285029">
      <w:pPr>
        <w:rPr>
          <w:rFonts w:eastAsia="Times New Roman"/>
        </w:rPr>
      </w:pPr>
      <w:r>
        <w:rPr>
          <w:rFonts w:eastAsia="Times New Roman"/>
        </w:rPr>
        <w:t>===rephrased.</w:t>
      </w:r>
    </w:p>
    <w:p w14:paraId="1FFCEB52" w14:textId="77777777" w:rsidR="00285029" w:rsidRDefault="00285029" w:rsidP="00285029">
      <w:pPr>
        <w:rPr>
          <w:rFonts w:eastAsia="Times New Roman"/>
        </w:rPr>
      </w:pPr>
    </w:p>
    <w:p w14:paraId="44DC6AE0" w14:textId="77777777" w:rsidR="00285029" w:rsidRDefault="00285029" w:rsidP="00285029">
      <w:pPr>
        <w:rPr>
          <w:rFonts w:eastAsia="Times New Roman"/>
        </w:rPr>
      </w:pPr>
      <w:r>
        <w:rPr>
          <w:rFonts w:eastAsia="Times New Roman"/>
        </w:rPr>
        <w:t>Page 12, line 1 (and thereafter): I find Meyer's use of "statistical" in this context counterintuitive, and would encourage the author to use it only when citing Meyer, and then suggest a less problematic term ("phenomenological" would be my choice).</w:t>
      </w:r>
    </w:p>
    <w:p w14:paraId="56FCF528" w14:textId="77777777" w:rsidR="00285029" w:rsidRDefault="00285029" w:rsidP="00285029">
      <w:pPr>
        <w:rPr>
          <w:rFonts w:eastAsia="Times New Roman"/>
        </w:rPr>
      </w:pPr>
      <w:r>
        <w:rPr>
          <w:rFonts w:eastAsia="Times New Roman"/>
        </w:rPr>
        <w:t>===I would like to follow Mirka and Meyer and retain this term. The word phenomenology also carries many overtones (within music theory and outside) that would be best to avoid. I would be very open for further editorial discussions about a word choice that would create more clarity but I do not have a good idea at this stage (perhaps the editors do).</w:t>
      </w:r>
    </w:p>
    <w:p w14:paraId="4155DAF2" w14:textId="77777777" w:rsidR="00285029" w:rsidRDefault="00285029" w:rsidP="00285029">
      <w:pPr>
        <w:rPr>
          <w:rFonts w:eastAsia="Times New Roman"/>
        </w:rPr>
      </w:pPr>
    </w:p>
    <w:p w14:paraId="15BD4078" w14:textId="77777777" w:rsidR="00285029" w:rsidRDefault="00285029" w:rsidP="00285029">
      <w:pPr>
        <w:rPr>
          <w:rFonts w:eastAsia="Times New Roman"/>
        </w:rPr>
      </w:pPr>
      <w:r>
        <w:rPr>
          <w:rFonts w:eastAsia="Times New Roman"/>
        </w:rPr>
        <w:t>Page 15, line 3: replace “bright” with “clear” (I think “bright” is too vague).</w:t>
      </w:r>
    </w:p>
    <w:p w14:paraId="185F0B2C" w14:textId="77777777" w:rsidR="00285029" w:rsidRDefault="00285029" w:rsidP="00285029">
      <w:pPr>
        <w:rPr>
          <w:rFonts w:eastAsia="Times New Roman"/>
        </w:rPr>
      </w:pPr>
      <w:r>
        <w:rPr>
          <w:rFonts w:eastAsia="Times New Roman"/>
        </w:rPr>
        <w:t>===reworded as suggested.</w:t>
      </w:r>
    </w:p>
    <w:p w14:paraId="113C46B8" w14:textId="77777777" w:rsidR="00285029" w:rsidRDefault="00285029" w:rsidP="00285029">
      <w:pPr>
        <w:rPr>
          <w:rFonts w:eastAsia="Times New Roman"/>
        </w:rPr>
      </w:pPr>
    </w:p>
    <w:p w14:paraId="5071A901" w14:textId="77777777" w:rsidR="00285029" w:rsidRDefault="00285029" w:rsidP="00285029">
      <w:pPr>
        <w:rPr>
          <w:rFonts w:eastAsia="Times New Roman"/>
        </w:rPr>
      </w:pPr>
      <w:r>
        <w:rPr>
          <w:rFonts w:eastAsia="Times New Roman"/>
        </w:rPr>
        <w:t>Page 16, line 1 (and thereafter): replace “C” with “common time” or “4/4” to avoid confusion</w:t>
      </w:r>
    </w:p>
    <w:p w14:paraId="336D72FD" w14:textId="77777777" w:rsidR="00285029" w:rsidRDefault="00285029" w:rsidP="00285029">
      <w:pPr>
        <w:rPr>
          <w:rFonts w:eastAsia="Times New Roman"/>
        </w:rPr>
      </w:pPr>
      <w:r>
        <w:rPr>
          <w:rFonts w:eastAsia="Times New Roman"/>
        </w:rPr>
        <w:t>with the note name (a reader is likely to first assume a misprint before guessing that the author</w:t>
      </w:r>
    </w:p>
    <w:p w14:paraId="08E135C5" w14:textId="77777777" w:rsidR="00285029" w:rsidRDefault="00285029" w:rsidP="00285029">
      <w:pPr>
        <w:rPr>
          <w:rFonts w:eastAsia="Times New Roman"/>
        </w:rPr>
      </w:pPr>
      <w:r>
        <w:rPr>
          <w:rFonts w:eastAsia="Times New Roman"/>
        </w:rPr>
        <w:lastRenderedPageBreak/>
        <w:t>meant “common time” in this context because the note name is seen in print so much more).</w:t>
      </w:r>
    </w:p>
    <w:p w14:paraId="42D88296" w14:textId="77777777" w:rsidR="00285029" w:rsidRDefault="00285029" w:rsidP="00285029">
      <w:pPr>
        <w:rPr>
          <w:rFonts w:eastAsia="Times New Roman"/>
        </w:rPr>
      </w:pPr>
      <w:r>
        <w:rPr>
          <w:rFonts w:eastAsia="Times New Roman"/>
        </w:rPr>
        <w:t>===replaced.</w:t>
      </w:r>
    </w:p>
    <w:p w14:paraId="07167AEE" w14:textId="77777777" w:rsidR="00285029" w:rsidRDefault="00285029" w:rsidP="00285029">
      <w:pPr>
        <w:rPr>
          <w:rFonts w:eastAsia="Times New Roman"/>
        </w:rPr>
      </w:pPr>
    </w:p>
    <w:p w14:paraId="0476A60D" w14:textId="77777777" w:rsidR="00285029" w:rsidRDefault="00285029" w:rsidP="00285029">
      <w:pPr>
        <w:rPr>
          <w:rFonts w:eastAsia="Times New Roman"/>
        </w:rPr>
      </w:pPr>
      <w:r>
        <w:rPr>
          <w:rFonts w:eastAsia="Times New Roman"/>
        </w:rPr>
        <w:t>Page 18, line 8: change “Anrew” to “Andrew”</w:t>
      </w:r>
    </w:p>
    <w:p w14:paraId="56CCECEE" w14:textId="77777777" w:rsidR="00285029" w:rsidRDefault="00285029" w:rsidP="00285029">
      <w:pPr>
        <w:rPr>
          <w:rFonts w:eastAsia="Times New Roman"/>
        </w:rPr>
      </w:pPr>
      <w:r>
        <w:rPr>
          <w:rFonts w:eastAsia="Times New Roman"/>
        </w:rPr>
        <w:t>===corrected typo</w:t>
      </w:r>
    </w:p>
    <w:p w14:paraId="0EAA46BF" w14:textId="77777777" w:rsidR="00285029" w:rsidRDefault="00285029" w:rsidP="00285029">
      <w:pPr>
        <w:rPr>
          <w:rFonts w:eastAsia="Times New Roman"/>
        </w:rPr>
      </w:pPr>
    </w:p>
    <w:p w14:paraId="3568D086" w14:textId="77777777" w:rsidR="00285029" w:rsidRDefault="00285029" w:rsidP="00285029">
      <w:pPr>
        <w:rPr>
          <w:rFonts w:eastAsia="Times New Roman"/>
        </w:rPr>
      </w:pPr>
      <w:r>
        <w:rPr>
          <w:rFonts w:eastAsia="Times New Roman"/>
        </w:rPr>
        <w:t>Page 21, line 3, “e-minor6”: For clarity, I would avoid mixing chord names with figured bass</w:t>
      </w:r>
    </w:p>
    <w:p w14:paraId="111474EE" w14:textId="77777777" w:rsidR="00285029" w:rsidRDefault="00285029" w:rsidP="00285029">
      <w:pPr>
        <w:rPr>
          <w:rFonts w:eastAsia="Times New Roman"/>
        </w:rPr>
      </w:pPr>
      <w:r>
        <w:rPr>
          <w:rFonts w:eastAsia="Times New Roman"/>
        </w:rPr>
        <w:t>symbols like this: either call it a first-inversion e-minor sonority or call it ii6.</w:t>
      </w:r>
    </w:p>
    <w:p w14:paraId="58D6968A" w14:textId="77777777" w:rsidR="00285029" w:rsidRDefault="00285029" w:rsidP="00285029">
      <w:pPr>
        <w:rPr>
          <w:rFonts w:eastAsia="Times New Roman"/>
        </w:rPr>
      </w:pPr>
      <w:r>
        <w:rPr>
          <w:rFonts w:eastAsia="Times New Roman"/>
        </w:rPr>
        <w:t>===changed to ii6.</w:t>
      </w:r>
    </w:p>
    <w:p w14:paraId="3B5A224C" w14:textId="77777777" w:rsidR="00285029" w:rsidRDefault="00285029" w:rsidP="00285029">
      <w:pPr>
        <w:rPr>
          <w:rFonts w:eastAsia="Times New Roman"/>
        </w:rPr>
      </w:pPr>
    </w:p>
    <w:p w14:paraId="0BE2823F" w14:textId="77777777" w:rsidR="00285029" w:rsidRDefault="00285029" w:rsidP="00285029">
      <w:pPr>
        <w:rPr>
          <w:rFonts w:eastAsia="Times New Roman"/>
        </w:rPr>
      </w:pPr>
      <w:r>
        <w:rPr>
          <w:rFonts w:eastAsia="Times New Roman"/>
        </w:rPr>
        <w:t>Page 26, lines 3-5: Here I would disagree that it sounds premature, and it does precede a</w:t>
      </w:r>
    </w:p>
    <w:p w14:paraId="0BAB6D0D" w14:textId="77777777" w:rsidR="00285029" w:rsidRDefault="00285029" w:rsidP="00285029">
      <w:pPr>
        <w:rPr>
          <w:rFonts w:eastAsia="Times New Roman"/>
        </w:rPr>
      </w:pPr>
      <w:r>
        <w:rPr>
          <w:rFonts w:eastAsia="Times New Roman"/>
        </w:rPr>
        <w:t xml:space="preserve">"stronger cadence" (to use </w:t>
      </w:r>
      <w:proofErr w:type="spellStart"/>
      <w:r>
        <w:rPr>
          <w:rFonts w:eastAsia="Times New Roman"/>
        </w:rPr>
        <w:t>Gjerdingen's</w:t>
      </w:r>
      <w:proofErr w:type="spellEnd"/>
      <w:r>
        <w:rPr>
          <w:rFonts w:eastAsia="Times New Roman"/>
        </w:rPr>
        <w:t xml:space="preserve"> words): the half cadence marked by a medial caesura</w:t>
      </w:r>
    </w:p>
    <w:p w14:paraId="4A834E1C" w14:textId="77777777" w:rsidR="00285029" w:rsidRDefault="00285029" w:rsidP="00285029">
      <w:pPr>
        <w:rPr>
          <w:rFonts w:eastAsia="Times New Roman"/>
        </w:rPr>
      </w:pPr>
      <w:r>
        <w:rPr>
          <w:rFonts w:eastAsia="Times New Roman"/>
        </w:rPr>
        <w:t xml:space="preserve">that ends the first half of the exposition. All that separates it from the arrival on the </w:t>
      </w:r>
      <w:proofErr w:type="spellStart"/>
      <w:r>
        <w:rPr>
          <w:rFonts w:eastAsia="Times New Roman"/>
        </w:rPr>
        <w:t>caden</w:t>
      </w:r>
      <w:proofErr w:type="spellEnd"/>
      <w:r>
        <w:rPr>
          <w:rFonts w:eastAsia="Times New Roman"/>
        </w:rPr>
        <w:t>(al</w:t>
      </w:r>
    </w:p>
    <w:p w14:paraId="2A585F77" w14:textId="77777777" w:rsidR="00285029" w:rsidRDefault="00285029" w:rsidP="00285029">
      <w:pPr>
        <w:rPr>
          <w:rFonts w:eastAsia="Times New Roman"/>
        </w:rPr>
      </w:pPr>
      <w:r>
        <w:rPr>
          <w:rFonts w:eastAsia="Times New Roman"/>
        </w:rPr>
        <w:t>dominant itself is three bars, which at this tempo doesn't take long.</w:t>
      </w:r>
    </w:p>
    <w:p w14:paraId="1B532329" w14:textId="77777777" w:rsidR="00285029" w:rsidRDefault="00285029" w:rsidP="00285029">
      <w:pPr>
        <w:rPr>
          <w:rFonts w:eastAsia="Times New Roman"/>
        </w:rPr>
      </w:pPr>
      <w:r>
        <w:rPr>
          <w:rFonts w:eastAsia="Times New Roman"/>
        </w:rPr>
        <w:t>===</w:t>
      </w:r>
      <w:proofErr w:type="spellStart"/>
      <w:r>
        <w:rPr>
          <w:rFonts w:eastAsia="Times New Roman"/>
        </w:rPr>
        <w:t>Passo</w:t>
      </w:r>
      <w:proofErr w:type="spellEnd"/>
      <w:r>
        <w:rPr>
          <w:rFonts w:eastAsia="Times New Roman"/>
        </w:rPr>
        <w:t xml:space="preserve"> </w:t>
      </w:r>
      <w:proofErr w:type="spellStart"/>
      <w:r>
        <w:rPr>
          <w:rFonts w:eastAsia="Times New Roman"/>
        </w:rPr>
        <w:t>Indietro</w:t>
      </w:r>
      <w:proofErr w:type="spellEnd"/>
      <w:r>
        <w:rPr>
          <w:rFonts w:eastAsia="Times New Roman"/>
        </w:rPr>
        <w:t xml:space="preserve"> interpretation suppressed in resubmission; please note that the discussion of form has been radically revised based on reviewer 2’s suggestion to base my interpretation on </w:t>
      </w:r>
      <w:proofErr w:type="spellStart"/>
      <w:r>
        <w:rPr>
          <w:rFonts w:eastAsia="Times New Roman"/>
        </w:rPr>
        <w:t>galant</w:t>
      </w:r>
      <w:proofErr w:type="spellEnd"/>
      <w:r>
        <w:rPr>
          <w:rFonts w:eastAsia="Times New Roman"/>
        </w:rPr>
        <w:t xml:space="preserve"> punctuation form.</w:t>
      </w:r>
    </w:p>
    <w:p w14:paraId="5F78A7F2" w14:textId="77777777" w:rsidR="00285029" w:rsidRDefault="00285029" w:rsidP="00285029">
      <w:pPr>
        <w:rPr>
          <w:rFonts w:eastAsia="Times New Roman"/>
        </w:rPr>
      </w:pPr>
    </w:p>
    <w:p w14:paraId="32CFD6C4" w14:textId="77777777" w:rsidR="00285029" w:rsidRDefault="00285029" w:rsidP="00285029">
      <w:pPr>
        <w:rPr>
          <w:rFonts w:eastAsia="Times New Roman"/>
        </w:rPr>
      </w:pPr>
      <w:r>
        <w:rPr>
          <w:rFonts w:eastAsia="Times New Roman"/>
        </w:rPr>
        <w:t>Page 28, Example 13: I like this Example 13 a lot, but it could be clearer. First, I would remove the arrow connecting the quarter notes to eighth notes, since that motion doesn't describe any of the music discussed so far. Next, I would replace "4-note" with "Quarter Note" as 4-note looks like a note grouping rather than a duration value. I would then remove the hyphens in “8th-note” and “16th-note,” as that makes them look like adjectives, not nouns. Finally, I would add three Arabic numerals enclosed in circles to represent the order of fastest pulses in the movement so far (the first over “8th Note,” the second over “16th Note,” and the third under “Quarter Note.”</w:t>
      </w:r>
    </w:p>
    <w:p w14:paraId="6A6EED99" w14:textId="77777777" w:rsidR="00285029" w:rsidRDefault="00285029" w:rsidP="00285029">
      <w:pPr>
        <w:rPr>
          <w:rFonts w:eastAsia="Times New Roman"/>
        </w:rPr>
      </w:pPr>
      <w:r>
        <w:rPr>
          <w:rFonts w:eastAsia="Times New Roman"/>
        </w:rPr>
        <w:t>===Omitted this example from the revision in order to keep the analytical/argumentative focus (but see the final Example 12d—I am open to discussions about how to make this clearer and compact. Some of my decisions in the resubmission file were simply based on the formatting in a Word table rather than what would be the ultimate formatting of this).</w:t>
      </w:r>
    </w:p>
    <w:p w14:paraId="3C9E02F7" w14:textId="77777777" w:rsidR="00285029" w:rsidRDefault="00285029" w:rsidP="00285029">
      <w:pPr>
        <w:rPr>
          <w:rFonts w:eastAsia="Times New Roman"/>
        </w:rPr>
      </w:pPr>
    </w:p>
    <w:p w14:paraId="14E4854A" w14:textId="77777777" w:rsidR="00285029" w:rsidRDefault="00285029" w:rsidP="00285029">
      <w:pPr>
        <w:rPr>
          <w:rFonts w:eastAsia="Times New Roman"/>
        </w:rPr>
      </w:pPr>
    </w:p>
    <w:p w14:paraId="1DDA2D45" w14:textId="77777777" w:rsidR="00285029" w:rsidRDefault="00285029" w:rsidP="00285029">
      <w:pPr>
        <w:rPr>
          <w:rFonts w:eastAsia="Times New Roman"/>
        </w:rPr>
      </w:pPr>
      <w:r>
        <w:rPr>
          <w:rFonts w:eastAsia="Times New Roman"/>
        </w:rPr>
        <w:t>Reviewer 2</w:t>
      </w:r>
    </w:p>
    <w:p w14:paraId="56076B2F" w14:textId="77777777" w:rsidR="00285029" w:rsidRDefault="00285029" w:rsidP="00285029">
      <w:pPr>
        <w:rPr>
          <w:rFonts w:eastAsia="Times New Roman"/>
        </w:rPr>
      </w:pPr>
      <w:r>
        <w:rPr>
          <w:rFonts w:eastAsia="Times New Roman"/>
        </w:rPr>
        <w:t xml:space="preserve">I like the spirit of this submission, which reflects the author’s intention “to provide a deep analytical dive into a single piece rather than to make a sweeping theoretical claim” (p. 1), and I sympathize with the suggestion to treat the analyses as an “implicit theoretical statement about equivalence between tonal and metric manipulations” (p. 2). I find the analyses of such manipulations for the most part thorough and illuminating. Still, I have qualms about the methodological horizon within which this enterprise is situated. The concept of “manipulations” implies that the compositional strategies observed in C. P. E. Bach’s Symphony in D major, </w:t>
      </w:r>
      <w:proofErr w:type="spellStart"/>
      <w:r>
        <w:rPr>
          <w:rFonts w:eastAsia="Times New Roman"/>
        </w:rPr>
        <w:t>Wq</w:t>
      </w:r>
      <w:proofErr w:type="spellEnd"/>
      <w:r>
        <w:rPr>
          <w:rFonts w:eastAsia="Times New Roman"/>
        </w:rPr>
        <w:t xml:space="preserve">. 183/1, were addressed toward his audience and </w:t>
      </w:r>
      <w:r>
        <w:rPr>
          <w:rFonts w:eastAsia="Times New Roman"/>
        </w:rPr>
        <w:lastRenderedPageBreak/>
        <w:t>intended to achieve a specific effect on it. This clashes with the author’s goal “to present a present-day analytical hearing of the piece rather than to engage in historically informed listening” (p. 2).</w:t>
      </w:r>
    </w:p>
    <w:p w14:paraId="75A7CFF9" w14:textId="77777777" w:rsidR="00285029" w:rsidRDefault="00285029" w:rsidP="00285029">
      <w:pPr>
        <w:rPr>
          <w:rFonts w:eastAsia="Times New Roman"/>
        </w:rPr>
      </w:pPr>
      <w:r>
        <w:rPr>
          <w:rFonts w:eastAsia="Times New Roman"/>
        </w:rPr>
        <w:t xml:space="preserve">===As the revised title implies, this is an analytical exploration of a single piece (i.e., from a single living analyst’s perspective). Surely, such a project is more self-indulgent than a pure exercise in historically-informed listening. As discussed in the revised manuscript, my assumption is that different compositional conceits (e.g., certain aspects of meter finding vs. punctuation form) would be accessible to certain kinds of listeners. For instance, the question of perceived 2/2 vs. 3/2 in the opening of the exposition would be accessible to a greater number of listeners (or analysts) than the question of what exactly the C time signature truly represents, where caesuras fall within measures, etc. In other words, the analytical approach is somewhat presentist and I hope that various types of readers would find it engaging despite the fact that it is not purely historically informed. </w:t>
      </w:r>
    </w:p>
    <w:p w14:paraId="41E284DC" w14:textId="77777777" w:rsidR="00285029" w:rsidRDefault="00285029" w:rsidP="00285029">
      <w:pPr>
        <w:rPr>
          <w:rFonts w:eastAsia="Times New Roman"/>
        </w:rPr>
      </w:pPr>
      <w:r>
        <w:rPr>
          <w:rFonts w:eastAsia="Times New Roman"/>
        </w:rPr>
        <w:t xml:space="preserve">=== I have corrected erroneous details as pointed out and have opted for a punctuation-form view (after Burstein 2020). </w:t>
      </w:r>
    </w:p>
    <w:p w14:paraId="2A0FBA13" w14:textId="77777777" w:rsidR="00285029" w:rsidRDefault="00285029" w:rsidP="00285029">
      <w:pPr>
        <w:rPr>
          <w:rFonts w:eastAsia="Times New Roman"/>
        </w:rPr>
      </w:pPr>
      <w:r>
        <w:rPr>
          <w:rFonts w:eastAsia="Times New Roman"/>
        </w:rPr>
        <w:t>Furthermore, I have misgivings about the execution. While analyses of some passages are detailed and lengthy, others are quick and brief. The author returns to the same passages several times, moves back and forth between different passages and touches upon certain issues without fully exposing them. Those changes of pace and direction as well as the cross-references between tonal and metric manipulations are disorienting and they don’t help the reader to follow the argument.</w:t>
      </w:r>
    </w:p>
    <w:p w14:paraId="38622FB0" w14:textId="77777777" w:rsidR="00285029" w:rsidRDefault="00285029" w:rsidP="00285029">
      <w:pPr>
        <w:rPr>
          <w:rFonts w:eastAsia="Times New Roman"/>
        </w:rPr>
      </w:pPr>
      <w:r>
        <w:rPr>
          <w:rFonts w:eastAsia="Times New Roman"/>
        </w:rPr>
        <w:t>===The writing has been thoroughly re-organized and fleshed out in a more argumentative form, with analytical details being tied back to the main argument. The Bach-</w:t>
      </w:r>
      <w:proofErr w:type="spellStart"/>
      <w:r>
        <w:rPr>
          <w:rFonts w:eastAsia="Times New Roman"/>
        </w:rPr>
        <w:t>Kirnberger</w:t>
      </w:r>
      <w:proofErr w:type="spellEnd"/>
      <w:r>
        <w:rPr>
          <w:rFonts w:eastAsia="Times New Roman"/>
        </w:rPr>
        <w:t xml:space="preserve"> exploration creates a lengthy insertion into the (mostly) blow-by-blow analysis and I would be open to reconsidering how to re-arrange things editorially. At any rate, the resubmission fleshes ideas out more clearly and makes sure to tie things into a unified analytical argument.</w:t>
      </w:r>
    </w:p>
    <w:p w14:paraId="29CC430A" w14:textId="77777777" w:rsidR="00285029" w:rsidRDefault="00285029" w:rsidP="00285029">
      <w:pPr>
        <w:rPr>
          <w:rFonts w:eastAsia="Times New Roman"/>
        </w:rPr>
      </w:pPr>
      <w:r>
        <w:rPr>
          <w:rFonts w:eastAsia="Times New Roman"/>
        </w:rPr>
        <w:t>Last but not least, I take issues with some details.</w:t>
      </w:r>
    </w:p>
    <w:p w14:paraId="1C3490C8" w14:textId="77777777" w:rsidR="00285029" w:rsidRDefault="00285029" w:rsidP="00285029">
      <w:pPr>
        <w:rPr>
          <w:rFonts w:eastAsia="Times New Roman"/>
        </w:rPr>
      </w:pPr>
      <w:r>
        <w:rPr>
          <w:rFonts w:eastAsia="Times New Roman"/>
        </w:rPr>
        <w:t>===Please see response below regarding the ways in which details of the analysis have been revised based on the reviewer’s feedback.</w:t>
      </w:r>
    </w:p>
    <w:p w14:paraId="27A2FA56" w14:textId="77777777" w:rsidR="00285029" w:rsidRDefault="00285029" w:rsidP="00285029">
      <w:pPr>
        <w:rPr>
          <w:rFonts w:eastAsia="Times New Roman"/>
        </w:rPr>
      </w:pPr>
    </w:p>
    <w:p w14:paraId="326A7921" w14:textId="77777777" w:rsidR="00285029" w:rsidRDefault="00285029" w:rsidP="00285029">
      <w:pPr>
        <w:rPr>
          <w:rFonts w:eastAsia="Times New Roman"/>
        </w:rPr>
      </w:pPr>
      <w:r>
        <w:rPr>
          <w:rFonts w:eastAsia="Times New Roman"/>
        </w:rPr>
        <w:t xml:space="preserve">Schemata </w:t>
      </w:r>
    </w:p>
    <w:p w14:paraId="39B5B032" w14:textId="77777777" w:rsidR="00285029" w:rsidRDefault="00285029" w:rsidP="00285029">
      <w:pPr>
        <w:rPr>
          <w:rFonts w:eastAsia="Times New Roman"/>
        </w:rPr>
      </w:pPr>
      <w:r>
        <w:rPr>
          <w:rFonts w:eastAsia="Times New Roman"/>
        </w:rPr>
        <w:t xml:space="preserve">===Please note: Most schema identifications have been suppressed in the resubmission as less helpful to the overall analytical argument. The remaining schema exemplars discussed: </w:t>
      </w:r>
      <w:proofErr w:type="spellStart"/>
      <w:r>
        <w:rPr>
          <w:rFonts w:eastAsia="Times New Roman"/>
        </w:rPr>
        <w:t>Prinner</w:t>
      </w:r>
      <w:proofErr w:type="spellEnd"/>
      <w:r>
        <w:rPr>
          <w:rFonts w:eastAsia="Times New Roman"/>
        </w:rPr>
        <w:t xml:space="preserve"> (starting in m. 31), le-sol-fi-sol, </w:t>
      </w:r>
      <w:proofErr w:type="spellStart"/>
      <w:r>
        <w:rPr>
          <w:rFonts w:eastAsia="Times New Roman"/>
        </w:rPr>
        <w:t>Fenaroli</w:t>
      </w:r>
      <w:proofErr w:type="spellEnd"/>
      <w:r>
        <w:rPr>
          <w:rFonts w:eastAsia="Times New Roman"/>
        </w:rPr>
        <w:t>, are all comfortably prototypical exemplars and I hope that they would be unproblematic to the reviewer. More broadly, it would have been helpful had we had some intersubjective agreement on: 1) how to identify new schema types; 2) how to identify exemplars of already “discovered” (read: proposed?) schema types. As long as the schema community cannot agree on these issues, it is difficult to decide on how fuzzy / inclusive we can be with particular exemplars. But this is the type of axe to grind that has to remain outside of an analytical article like this one. I do hope that the reviewer (and others) would intersubjectively agree on the “surviving” schema labels of the revised version.</w:t>
      </w:r>
    </w:p>
    <w:p w14:paraId="0A353367" w14:textId="77777777" w:rsidR="00285029" w:rsidRDefault="00285029" w:rsidP="00285029">
      <w:pPr>
        <w:rPr>
          <w:rFonts w:eastAsia="Times New Roman"/>
        </w:rPr>
      </w:pPr>
    </w:p>
    <w:p w14:paraId="3601A39A" w14:textId="77777777" w:rsidR="00285029" w:rsidRDefault="00285029" w:rsidP="00285029">
      <w:pPr>
        <w:rPr>
          <w:rFonts w:eastAsia="Times New Roman"/>
        </w:rPr>
      </w:pPr>
      <w:r>
        <w:rPr>
          <w:rFonts w:eastAsia="Times New Roman"/>
        </w:rPr>
        <w:lastRenderedPageBreak/>
        <w:t>The I-vi-IV opening of Example 2 is described by the author as a “</w:t>
      </w:r>
      <w:proofErr w:type="spellStart"/>
      <w:r>
        <w:rPr>
          <w:rFonts w:eastAsia="Times New Roman"/>
        </w:rPr>
        <w:t>galant</w:t>
      </w:r>
      <w:proofErr w:type="spellEnd"/>
      <w:r>
        <w:rPr>
          <w:rFonts w:eastAsia="Times New Roman"/>
        </w:rPr>
        <w:t xml:space="preserve"> </w:t>
      </w:r>
      <w:proofErr w:type="spellStart"/>
      <w:r>
        <w:rPr>
          <w:rFonts w:eastAsia="Times New Roman"/>
        </w:rPr>
        <w:t>Romanesca</w:t>
      </w:r>
      <w:proofErr w:type="spellEnd"/>
      <w:r>
        <w:rPr>
          <w:rFonts w:eastAsia="Times New Roman"/>
        </w:rPr>
        <w:t xml:space="preserve">” (p. 3) but the bass line of the </w:t>
      </w:r>
      <w:proofErr w:type="spellStart"/>
      <w:r>
        <w:rPr>
          <w:rFonts w:eastAsia="Times New Roman"/>
        </w:rPr>
        <w:t>galant</w:t>
      </w:r>
      <w:proofErr w:type="spellEnd"/>
      <w:r>
        <w:rPr>
          <w:rFonts w:eastAsia="Times New Roman"/>
        </w:rPr>
        <w:t xml:space="preserve"> </w:t>
      </w:r>
      <w:proofErr w:type="spellStart"/>
      <w:r>
        <w:rPr>
          <w:rFonts w:eastAsia="Times New Roman"/>
        </w:rPr>
        <w:t>Romanesca</w:t>
      </w:r>
      <w:proofErr w:type="spellEnd"/>
      <w:r>
        <w:rPr>
          <w:rFonts w:eastAsia="Times New Roman"/>
        </w:rPr>
        <w:t xml:space="preserve"> consists of scale degrees 1-7-6-3 (Gjerdingen 2007: 33) and it features a melody consisting of scale degrees 1-5-1-1 (Gjerdingen 2007: 39), neither of which can be found in Example 2. The author contends that this </w:t>
      </w:r>
      <w:proofErr w:type="spellStart"/>
      <w:r>
        <w:rPr>
          <w:rFonts w:eastAsia="Times New Roman"/>
        </w:rPr>
        <w:t>Romanesca</w:t>
      </w:r>
      <w:proofErr w:type="spellEnd"/>
      <w:r>
        <w:rPr>
          <w:rFonts w:eastAsia="Times New Roman"/>
        </w:rPr>
        <w:t xml:space="preserve"> “is the home key of G major” (p. 3), although the home key is D major.</w:t>
      </w:r>
    </w:p>
    <w:p w14:paraId="77EE12B9" w14:textId="77777777" w:rsidR="00285029" w:rsidRDefault="00285029" w:rsidP="00285029">
      <w:pPr>
        <w:rPr>
          <w:rFonts w:eastAsia="Times New Roman"/>
        </w:rPr>
      </w:pPr>
      <w:r>
        <w:rPr>
          <w:rFonts w:eastAsia="Times New Roman"/>
        </w:rPr>
        <w:t xml:space="preserve">===Home key typo corrected; </w:t>
      </w:r>
      <w:proofErr w:type="spellStart"/>
      <w:r>
        <w:rPr>
          <w:rFonts w:eastAsia="Times New Roman"/>
        </w:rPr>
        <w:t>Romanesca</w:t>
      </w:r>
      <w:proofErr w:type="spellEnd"/>
      <w:r>
        <w:rPr>
          <w:rFonts w:eastAsia="Times New Roman"/>
        </w:rPr>
        <w:t xml:space="preserve"> label removed since it is not particularly pertinent to my revised argumentation (see broader note above).</w:t>
      </w:r>
    </w:p>
    <w:p w14:paraId="035143DD" w14:textId="77777777" w:rsidR="00285029" w:rsidRDefault="00285029" w:rsidP="00285029">
      <w:pPr>
        <w:rPr>
          <w:rFonts w:eastAsia="Times New Roman"/>
        </w:rPr>
      </w:pPr>
    </w:p>
    <w:p w14:paraId="5FA5241D" w14:textId="77777777" w:rsidR="00285029" w:rsidRDefault="00285029" w:rsidP="00285029">
      <w:pPr>
        <w:rPr>
          <w:rFonts w:eastAsia="Times New Roman"/>
        </w:rPr>
      </w:pPr>
      <w:r>
        <w:rPr>
          <w:rFonts w:eastAsia="Times New Roman"/>
        </w:rPr>
        <w:t xml:space="preserve">Further issues with identification of schemata occur in Example 14, where the author finds the </w:t>
      </w:r>
      <w:proofErr w:type="spellStart"/>
      <w:r>
        <w:rPr>
          <w:rFonts w:eastAsia="Times New Roman"/>
        </w:rPr>
        <w:t>Prinner</w:t>
      </w:r>
      <w:proofErr w:type="spellEnd"/>
      <w:r>
        <w:rPr>
          <w:rFonts w:eastAsia="Times New Roman"/>
        </w:rPr>
        <w:t xml:space="preserve"> in mm. 37-40 and Fonte in mm. 39-40, although the entire passage represents a chain of bass suspensions (Sanguinetti 2012: 135).</w:t>
      </w:r>
    </w:p>
    <w:p w14:paraId="5D675A88" w14:textId="77777777" w:rsidR="00285029" w:rsidRDefault="00285029" w:rsidP="00285029">
      <w:pPr>
        <w:rPr>
          <w:rFonts w:eastAsia="Times New Roman"/>
        </w:rPr>
      </w:pPr>
      <w:r>
        <w:rPr>
          <w:rFonts w:eastAsia="Times New Roman"/>
        </w:rPr>
        <w:t xml:space="preserve">===I have omitted these schematic readings from revised version Example 14. The chain of suspensions is discussed in the revised version (though not in a </w:t>
      </w:r>
      <w:proofErr w:type="spellStart"/>
      <w:r>
        <w:rPr>
          <w:rFonts w:eastAsia="Times New Roman"/>
        </w:rPr>
        <w:t>partimento</w:t>
      </w:r>
      <w:proofErr w:type="spellEnd"/>
      <w:r>
        <w:rPr>
          <w:rFonts w:eastAsia="Times New Roman"/>
        </w:rPr>
        <w:t xml:space="preserve"> sense, but in conjunction with a potential </w:t>
      </w:r>
      <w:proofErr w:type="spellStart"/>
      <w:r>
        <w:rPr>
          <w:rFonts w:eastAsia="Times New Roman"/>
        </w:rPr>
        <w:t>Klorman-esque</w:t>
      </w:r>
      <w:proofErr w:type="spellEnd"/>
      <w:r>
        <w:rPr>
          <w:rFonts w:eastAsia="Times New Roman"/>
        </w:rPr>
        <w:t xml:space="preserve"> conversation between Bach and </w:t>
      </w:r>
      <w:proofErr w:type="spellStart"/>
      <w:r>
        <w:rPr>
          <w:rFonts w:eastAsia="Times New Roman"/>
        </w:rPr>
        <w:t>Kirnberger</w:t>
      </w:r>
      <w:proofErr w:type="spellEnd"/>
      <w:r>
        <w:rPr>
          <w:rFonts w:eastAsia="Times New Roman"/>
        </w:rPr>
        <w:t xml:space="preserve"> about dissonance treatment and the </w:t>
      </w:r>
      <w:proofErr w:type="spellStart"/>
      <w:r>
        <w:rPr>
          <w:rFonts w:eastAsia="Times New Roman"/>
        </w:rPr>
        <w:t>galant</w:t>
      </w:r>
      <w:proofErr w:type="spellEnd"/>
      <w:r>
        <w:rPr>
          <w:rFonts w:eastAsia="Times New Roman"/>
        </w:rPr>
        <w:t xml:space="preserve"> vs. strict styles—and tied to the broader speculations on Bach-</w:t>
      </w:r>
      <w:proofErr w:type="spellStart"/>
      <w:r>
        <w:rPr>
          <w:rFonts w:eastAsia="Times New Roman"/>
        </w:rPr>
        <w:t>Kirnberger</w:t>
      </w:r>
      <w:proofErr w:type="spellEnd"/>
      <w:r>
        <w:rPr>
          <w:rFonts w:eastAsia="Times New Roman"/>
        </w:rPr>
        <w:t>).</w:t>
      </w:r>
    </w:p>
    <w:p w14:paraId="6108F6C2" w14:textId="77777777" w:rsidR="00285029" w:rsidRDefault="00285029" w:rsidP="00285029">
      <w:pPr>
        <w:rPr>
          <w:rFonts w:eastAsia="Times New Roman"/>
        </w:rPr>
      </w:pPr>
    </w:p>
    <w:p w14:paraId="2FEF6B23" w14:textId="77777777" w:rsidR="00285029" w:rsidRDefault="00285029" w:rsidP="00285029">
      <w:pPr>
        <w:rPr>
          <w:rFonts w:eastAsia="Times New Roman"/>
        </w:rPr>
      </w:pPr>
      <w:r>
        <w:rPr>
          <w:rFonts w:eastAsia="Times New Roman"/>
        </w:rPr>
        <w:t xml:space="preserve">When the author writes that “a fully diminished seventh chord followed by a 6/4 sonority a half step above in the bass provide unambiguous tonal position finding” (p. 4), they would be well advised to refer to Vasili </w:t>
      </w:r>
      <w:proofErr w:type="spellStart"/>
      <w:r>
        <w:rPr>
          <w:rFonts w:eastAsia="Times New Roman"/>
        </w:rPr>
        <w:t>Byros’s</w:t>
      </w:r>
      <w:proofErr w:type="spellEnd"/>
      <w:r>
        <w:rPr>
          <w:rFonts w:eastAsia="Times New Roman"/>
        </w:rPr>
        <w:t xml:space="preserve"> chapter “Of Elegant Tones and Fantastical Progressions: A Historical, Schema-Based, and </w:t>
      </w:r>
      <w:proofErr w:type="spellStart"/>
      <w:r>
        <w:rPr>
          <w:rFonts w:eastAsia="Times New Roman"/>
        </w:rPr>
        <w:t>Comprovisational</w:t>
      </w:r>
      <w:proofErr w:type="spellEnd"/>
      <w:r>
        <w:rPr>
          <w:rFonts w:eastAsia="Times New Roman"/>
        </w:rPr>
        <w:t xml:space="preserve"> Perspective on Diminished Seventh-Chord Modulation, c. 1720–1830. Or, an Exercise in corporis studium” in The Oxford Handbook of Music and Corpus Studies (ed. Daniel Shanahan et al.).</w:t>
      </w:r>
    </w:p>
    <w:p w14:paraId="0EEDDE75" w14:textId="77777777" w:rsidR="00285029" w:rsidRDefault="00285029" w:rsidP="00285029">
      <w:pPr>
        <w:rPr>
          <w:rFonts w:eastAsia="Times New Roman"/>
        </w:rPr>
      </w:pPr>
      <w:r>
        <w:rPr>
          <w:rFonts w:eastAsia="Times New Roman"/>
        </w:rPr>
        <w:t>While the volume is still forthcoming, the chapter is available online.</w:t>
      </w:r>
    </w:p>
    <w:p w14:paraId="567BDF95" w14:textId="77777777" w:rsidR="00285029" w:rsidRDefault="00285029" w:rsidP="00285029">
      <w:pPr>
        <w:rPr>
          <w:rFonts w:eastAsia="Times New Roman"/>
        </w:rPr>
      </w:pPr>
      <w:r>
        <w:rPr>
          <w:rFonts w:eastAsia="Times New Roman"/>
        </w:rPr>
        <w:t>===</w:t>
      </w:r>
      <w:proofErr w:type="spellStart"/>
      <w:r>
        <w:rPr>
          <w:rFonts w:eastAsia="Times New Roman"/>
        </w:rPr>
        <w:t>Byros’s</w:t>
      </w:r>
      <w:proofErr w:type="spellEnd"/>
      <w:r>
        <w:rPr>
          <w:rFonts w:eastAsia="Times New Roman"/>
        </w:rPr>
        <w:t xml:space="preserve"> rich and wide-ranging essay is now cited and engaged as it pertains to my argument about these bold yet tonally unambiguous, fantasy-like two-chord successions.</w:t>
      </w:r>
    </w:p>
    <w:p w14:paraId="693D2FFE" w14:textId="77777777" w:rsidR="00285029" w:rsidRDefault="00285029" w:rsidP="00285029">
      <w:pPr>
        <w:rPr>
          <w:rFonts w:eastAsia="Times New Roman"/>
        </w:rPr>
      </w:pPr>
    </w:p>
    <w:p w14:paraId="6B670D72" w14:textId="77777777" w:rsidR="00285029" w:rsidRDefault="00285029" w:rsidP="00285029">
      <w:pPr>
        <w:rPr>
          <w:rFonts w:eastAsia="Times New Roman"/>
        </w:rPr>
      </w:pPr>
      <w:r>
        <w:rPr>
          <w:rFonts w:eastAsia="Times New Roman"/>
        </w:rPr>
        <w:t xml:space="preserve">The relation of schemata to form, to which the author turns near the end (p. 26), is tentative and the fleeting references to </w:t>
      </w:r>
      <w:proofErr w:type="spellStart"/>
      <w:r>
        <w:rPr>
          <w:rFonts w:eastAsia="Times New Roman"/>
        </w:rPr>
        <w:t>Byros’s</w:t>
      </w:r>
      <w:proofErr w:type="spellEnd"/>
      <w:r>
        <w:rPr>
          <w:rFonts w:eastAsia="Times New Roman"/>
        </w:rPr>
        <w:t xml:space="preserve"> and Caplin’s work don’t suffice to make sense of the author’s discussion of the formal function of the </w:t>
      </w:r>
      <w:proofErr w:type="spellStart"/>
      <w:r>
        <w:rPr>
          <w:rFonts w:eastAsia="Times New Roman"/>
        </w:rPr>
        <w:t>Passo</w:t>
      </w:r>
      <w:proofErr w:type="spellEnd"/>
      <w:r>
        <w:rPr>
          <w:rFonts w:eastAsia="Times New Roman"/>
        </w:rPr>
        <w:t xml:space="preserve"> </w:t>
      </w:r>
      <w:proofErr w:type="spellStart"/>
      <w:r>
        <w:rPr>
          <w:rFonts w:eastAsia="Times New Roman"/>
        </w:rPr>
        <w:t>Indietro</w:t>
      </w:r>
      <w:proofErr w:type="spellEnd"/>
      <w:r>
        <w:rPr>
          <w:rFonts w:eastAsia="Times New Roman"/>
        </w:rPr>
        <w:t xml:space="preserve"> in mm. 27- 28.</w:t>
      </w:r>
    </w:p>
    <w:p w14:paraId="6B7BB703" w14:textId="77777777" w:rsidR="00285029" w:rsidRDefault="00285029" w:rsidP="00285029">
      <w:pPr>
        <w:rPr>
          <w:rFonts w:eastAsia="Times New Roman"/>
        </w:rPr>
      </w:pPr>
      <w:r>
        <w:rPr>
          <w:rFonts w:eastAsia="Times New Roman"/>
        </w:rPr>
        <w:t>===</w:t>
      </w:r>
      <w:proofErr w:type="spellStart"/>
      <w:r>
        <w:rPr>
          <w:rFonts w:eastAsia="Times New Roman"/>
        </w:rPr>
        <w:t>Passo</w:t>
      </w:r>
      <w:proofErr w:type="spellEnd"/>
      <w:r>
        <w:rPr>
          <w:rFonts w:eastAsia="Times New Roman"/>
        </w:rPr>
        <w:t xml:space="preserve"> </w:t>
      </w:r>
      <w:proofErr w:type="spellStart"/>
      <w:r>
        <w:rPr>
          <w:rFonts w:eastAsia="Times New Roman"/>
        </w:rPr>
        <w:t>Indietro</w:t>
      </w:r>
      <w:proofErr w:type="spellEnd"/>
      <w:r>
        <w:rPr>
          <w:rFonts w:eastAsia="Times New Roman"/>
        </w:rPr>
        <w:t xml:space="preserve"> label (if that’s what it is) has been suppressed. More broadly, I have minimized the discussion of schemata within form in the resubmission, focusing instead on punctuation form as suggested. I have focused my attention in this passage on the “</w:t>
      </w:r>
      <w:proofErr w:type="spellStart"/>
      <w:r>
        <w:rPr>
          <w:rFonts w:eastAsia="Times New Roman"/>
        </w:rPr>
        <w:t>Prinner</w:t>
      </w:r>
      <w:proofErr w:type="spellEnd"/>
      <w:r>
        <w:rPr>
          <w:rFonts w:eastAsia="Times New Roman"/>
        </w:rPr>
        <w:t xml:space="preserve"> riposte” (like) event of m. 31 as it relates to my revised argumentation. I have included a discussion of the le-sol-fi-sol and </w:t>
      </w:r>
      <w:proofErr w:type="spellStart"/>
      <w:r>
        <w:rPr>
          <w:rFonts w:eastAsia="Times New Roman"/>
        </w:rPr>
        <w:t>Fenaroli</w:t>
      </w:r>
      <w:proofErr w:type="spellEnd"/>
      <w:r>
        <w:rPr>
          <w:rFonts w:eastAsia="Times New Roman"/>
        </w:rPr>
        <w:t xml:space="preserve"> as “solving” a compositional problem, more directly tied to my overall argument.</w:t>
      </w:r>
    </w:p>
    <w:p w14:paraId="0428DDD0" w14:textId="77777777" w:rsidR="00285029" w:rsidRDefault="00285029" w:rsidP="00285029">
      <w:pPr>
        <w:rPr>
          <w:rFonts w:eastAsia="Times New Roman"/>
        </w:rPr>
      </w:pPr>
      <w:r>
        <w:rPr>
          <w:rFonts w:eastAsia="Times New Roman"/>
        </w:rPr>
        <w:t xml:space="preserve">===It would have been easier to argue about “schemata within form” had we had a better mapping of it. Alas, despite important contributions by </w:t>
      </w:r>
      <w:proofErr w:type="spellStart"/>
      <w:r>
        <w:rPr>
          <w:rFonts w:eastAsia="Times New Roman"/>
        </w:rPr>
        <w:t>Byros</w:t>
      </w:r>
      <w:proofErr w:type="spellEnd"/>
      <w:r>
        <w:rPr>
          <w:rFonts w:eastAsia="Times New Roman"/>
        </w:rPr>
        <w:t>, Caplin, et al., we do not to my knowledge have a comprehensive synthesis of form and schemata. (Certainly Burstein’s 2020 example-rich contribution discusses schemata occasionally but does not offer much general information about the schematic content of areas moving towards cadence points).</w:t>
      </w:r>
    </w:p>
    <w:p w14:paraId="2ED22172" w14:textId="77777777" w:rsidR="00285029" w:rsidRDefault="00285029" w:rsidP="00285029">
      <w:pPr>
        <w:rPr>
          <w:rFonts w:eastAsia="Times New Roman"/>
        </w:rPr>
      </w:pPr>
    </w:p>
    <w:p w14:paraId="4E59E4AF" w14:textId="77777777" w:rsidR="00285029" w:rsidRDefault="00285029" w:rsidP="00285029">
      <w:pPr>
        <w:rPr>
          <w:rFonts w:eastAsia="Times New Roman"/>
        </w:rPr>
      </w:pPr>
      <w:r>
        <w:rPr>
          <w:rFonts w:eastAsia="Times New Roman"/>
        </w:rPr>
        <w:t>Sonata form</w:t>
      </w:r>
    </w:p>
    <w:p w14:paraId="69A6F858" w14:textId="77777777" w:rsidR="00285029" w:rsidRDefault="00285029" w:rsidP="00285029">
      <w:pPr>
        <w:rPr>
          <w:rFonts w:eastAsia="Times New Roman"/>
        </w:rPr>
      </w:pPr>
    </w:p>
    <w:p w14:paraId="459241F4" w14:textId="77777777" w:rsidR="00285029" w:rsidRDefault="00285029" w:rsidP="00285029">
      <w:pPr>
        <w:rPr>
          <w:rFonts w:eastAsia="Times New Roman"/>
        </w:rPr>
      </w:pPr>
      <w:r>
        <w:rPr>
          <w:rFonts w:eastAsia="Times New Roman"/>
        </w:rPr>
        <w:t xml:space="preserve">The shift “to large-scale formal strategies” (p. 35) comes out of the blue and framing it in terms of Hepokoski and Darcy’s Sonata Theory is problematic because the norms on which this theory rests were not yet established in the mid-1770s. This was recently pointed out by Burstein (2020) and Greenberg (2022), who came up with alternative approaches to the study of sonata form in this period. The author doesn’t mention Burstein and his reference to Greenberg remains inconsequential. The lack of historical perspective upon the sonata form is in evidence from the outset. When the author points to the “I: HC MC in Hepokoski and Darcy’s (2006) terms” (p. 5) at m. 34 of C. P. E. Bach’s symphony, it is far from clear if this HC in really an MC or, rather, the first of two caesuras following </w:t>
      </w:r>
      <w:proofErr w:type="spellStart"/>
      <w:r>
        <w:rPr>
          <w:rFonts w:eastAsia="Times New Roman"/>
        </w:rPr>
        <w:t>Quintabsätze</w:t>
      </w:r>
      <w:proofErr w:type="spellEnd"/>
      <w:r>
        <w:rPr>
          <w:rFonts w:eastAsia="Times New Roman"/>
        </w:rPr>
        <w:t xml:space="preserve"> in the main and the dominant key, respectively, and thus resulting in what Burstein (2020: 182-200) calls an “exposition with two half-cadential breaks.”</w:t>
      </w:r>
    </w:p>
    <w:p w14:paraId="16F8FC65" w14:textId="77777777" w:rsidR="00285029" w:rsidRDefault="00285029" w:rsidP="00285029">
      <w:pPr>
        <w:rPr>
          <w:rFonts w:eastAsia="Times New Roman"/>
        </w:rPr>
      </w:pPr>
      <w:r>
        <w:rPr>
          <w:rFonts w:eastAsia="Times New Roman"/>
        </w:rPr>
        <w:t xml:space="preserve">===The revised version engages Burstein’s work on </w:t>
      </w:r>
      <w:proofErr w:type="spellStart"/>
      <w:r>
        <w:rPr>
          <w:rFonts w:eastAsia="Times New Roman"/>
        </w:rPr>
        <w:t>galant</w:t>
      </w:r>
      <w:proofErr w:type="spellEnd"/>
      <w:r>
        <w:rPr>
          <w:rFonts w:eastAsia="Times New Roman"/>
        </w:rPr>
        <w:t xml:space="preserve"> expositions and relies on it in detail. I address head-on the problems with anachronistically imposing MC conventions on the piece, though—overall—I take a punctuation-oriented reading of this </w:t>
      </w:r>
      <w:proofErr w:type="spellStart"/>
      <w:r>
        <w:rPr>
          <w:rFonts w:eastAsia="Times New Roman"/>
        </w:rPr>
        <w:t>galant</w:t>
      </w:r>
      <w:proofErr w:type="spellEnd"/>
      <w:r>
        <w:rPr>
          <w:rFonts w:eastAsia="Times New Roman"/>
        </w:rPr>
        <w:t xml:space="preserve"> exposition.</w:t>
      </w:r>
    </w:p>
    <w:p w14:paraId="68F75E7E" w14:textId="77777777" w:rsidR="00285029" w:rsidRDefault="00285029" w:rsidP="00285029">
      <w:pPr>
        <w:rPr>
          <w:rFonts w:eastAsia="Times New Roman"/>
        </w:rPr>
      </w:pPr>
      <w:r>
        <w:rPr>
          <w:rFonts w:eastAsia="Times New Roman"/>
        </w:rPr>
        <w:t xml:space="preserve">===The reference to Greenberg’s (2022) study has been taken out of the revised version. Greenberg’s study (2022) tracks sonata form diachronically through second reprises (exclusively), whereas my revised version now deals only with the exposition / first reprise; of course, one can surmise how </w:t>
      </w:r>
      <w:proofErr w:type="spellStart"/>
      <w:r>
        <w:rPr>
          <w:rFonts w:eastAsia="Times New Roman"/>
        </w:rPr>
        <w:t>galant</w:t>
      </w:r>
      <w:proofErr w:type="spellEnd"/>
      <w:r>
        <w:rPr>
          <w:rFonts w:eastAsia="Times New Roman"/>
        </w:rPr>
        <w:t xml:space="preserve"> expositions diachronically become high-classical expositions through certain cadence points (QA in home key or in V) accruing MC-like textural and other features (among many other features of this evolution process). While Burstein’s (2020) study is extremely rich in examples, it does not engage in a detailed diachronic mapping that would clarify this change in compositional practice. A Burstein-Greenberg methodological hybrid could have provided clearer background information for where exactly this symphonic exposition lies on the slow diachronic evolution of </w:t>
      </w:r>
      <w:proofErr w:type="spellStart"/>
      <w:r>
        <w:rPr>
          <w:rFonts w:eastAsia="Times New Roman"/>
        </w:rPr>
        <w:t>galant</w:t>
      </w:r>
      <w:proofErr w:type="spellEnd"/>
      <w:r>
        <w:rPr>
          <w:rFonts w:eastAsia="Times New Roman"/>
        </w:rPr>
        <w:t xml:space="preserve"> expositions into high-classical expositions—I don’t think that my analytical article manuscript can be tasked with this type of mapping. Greenberg and collaborators have expanded this work into other genres (e.g., concerti between ritornello and later models) but not to my knowledge to sonata expositions or first reprises.</w:t>
      </w:r>
    </w:p>
    <w:p w14:paraId="74F103A1" w14:textId="77777777" w:rsidR="00285029" w:rsidRDefault="00285029" w:rsidP="00285029">
      <w:pPr>
        <w:rPr>
          <w:rFonts w:eastAsia="Times New Roman"/>
        </w:rPr>
      </w:pPr>
      <w:r>
        <w:rPr>
          <w:rFonts w:eastAsia="Times New Roman"/>
        </w:rPr>
        <w:t>===Regarding m. 34: its potential MC-like qualities are framed much more cautiously in the resubmission. Surely punctuation norms are relevant to hearing this piece (as well as many later ones), whereas any feature of the high-classical exposition might be an anachronistic imposition on C. P. E. Bach’s exposition.</w:t>
      </w:r>
    </w:p>
    <w:p w14:paraId="5D251AFE" w14:textId="77777777" w:rsidR="00285029" w:rsidRDefault="00285029" w:rsidP="00285029">
      <w:pPr>
        <w:rPr>
          <w:rFonts w:eastAsia="Times New Roman"/>
        </w:rPr>
      </w:pPr>
    </w:p>
    <w:p w14:paraId="73896480" w14:textId="77777777" w:rsidR="00285029" w:rsidRDefault="00285029" w:rsidP="00285029">
      <w:pPr>
        <w:rPr>
          <w:rFonts w:eastAsia="Times New Roman"/>
        </w:rPr>
      </w:pPr>
      <w:r>
        <w:rPr>
          <w:rFonts w:eastAsia="Times New Roman"/>
        </w:rPr>
        <w:t>Meter</w:t>
      </w:r>
    </w:p>
    <w:p w14:paraId="78E187B8" w14:textId="77777777" w:rsidR="00285029" w:rsidRDefault="00285029" w:rsidP="00285029">
      <w:pPr>
        <w:rPr>
          <w:rFonts w:eastAsia="Times New Roman"/>
        </w:rPr>
      </w:pPr>
    </w:p>
    <w:p w14:paraId="7F209C65" w14:textId="77777777" w:rsidR="00285029" w:rsidRDefault="00285029" w:rsidP="00285029">
      <w:pPr>
        <w:rPr>
          <w:rFonts w:eastAsia="Times New Roman"/>
        </w:rPr>
      </w:pPr>
      <w:r>
        <w:rPr>
          <w:rFonts w:eastAsia="Times New Roman"/>
        </w:rPr>
        <w:t>In the author’s words, “Bach creates a meter finding problem that surprisingly resonates with nascent metric theories from his milieu around the time of composition (</w:t>
      </w:r>
      <w:proofErr w:type="spellStart"/>
      <w:r>
        <w:rPr>
          <w:rFonts w:eastAsia="Times New Roman"/>
        </w:rPr>
        <w:t>Kirnberger</w:t>
      </w:r>
      <w:proofErr w:type="spellEnd"/>
      <w:r>
        <w:rPr>
          <w:rFonts w:eastAsia="Times New Roman"/>
        </w:rPr>
        <w:t xml:space="preserve"> and Schulz 1774, Mirka 2009)” (p. 1) but this is not so surprising. After all, </w:t>
      </w:r>
      <w:proofErr w:type="spellStart"/>
      <w:r>
        <w:rPr>
          <w:rFonts w:eastAsia="Times New Roman"/>
        </w:rPr>
        <w:t>Kirnberger</w:t>
      </w:r>
      <w:proofErr w:type="spellEnd"/>
      <w:r>
        <w:rPr>
          <w:rFonts w:eastAsia="Times New Roman"/>
        </w:rPr>
        <w:t xml:space="preserve"> was J. S. Bach’s student and belonged to the Berlin circle of music theorists, in which C. P. E. Bach was glorified. His compositions are cited by </w:t>
      </w:r>
      <w:proofErr w:type="spellStart"/>
      <w:r>
        <w:rPr>
          <w:rFonts w:eastAsia="Times New Roman"/>
        </w:rPr>
        <w:t>Kirnberger</w:t>
      </w:r>
      <w:proofErr w:type="spellEnd"/>
      <w:r>
        <w:rPr>
          <w:rFonts w:eastAsia="Times New Roman"/>
        </w:rPr>
        <w:t xml:space="preserve"> and the author mentions one such citation in footnote 8. Thus, rather than treating it as a curiosity, it would have been more appropriate to explore the connection in greater detail.</w:t>
      </w:r>
    </w:p>
    <w:p w14:paraId="211CC6F4" w14:textId="77777777" w:rsidR="00285029" w:rsidRDefault="00285029" w:rsidP="00285029">
      <w:pPr>
        <w:rPr>
          <w:rFonts w:eastAsia="Times New Roman"/>
        </w:rPr>
      </w:pPr>
      <w:r>
        <w:rPr>
          <w:rFonts w:eastAsia="Times New Roman"/>
        </w:rPr>
        <w:lastRenderedPageBreak/>
        <w:t xml:space="preserve">===The revised version speculates at length (and with specific details) on the possibility that Bach’s piece is a coded commentary on </w:t>
      </w:r>
      <w:proofErr w:type="spellStart"/>
      <w:r>
        <w:rPr>
          <w:rFonts w:eastAsia="Times New Roman"/>
        </w:rPr>
        <w:t>Kirnberger’s</w:t>
      </w:r>
      <w:proofErr w:type="spellEnd"/>
      <w:r>
        <w:rPr>
          <w:rFonts w:eastAsia="Times New Roman"/>
        </w:rPr>
        <w:t xml:space="preserve"> emerging views of meter. Given the speculative nature of this pursuit (in the absence of more direct statements), I have tried to be cautious in my argumentation about this potential connection.</w:t>
      </w:r>
    </w:p>
    <w:p w14:paraId="680946A5" w14:textId="77777777" w:rsidR="00285029" w:rsidRDefault="00285029" w:rsidP="00285029">
      <w:pPr>
        <w:rPr>
          <w:rFonts w:eastAsia="Times New Roman"/>
        </w:rPr>
      </w:pPr>
    </w:p>
    <w:p w14:paraId="46E81723" w14:textId="77777777" w:rsidR="00285029" w:rsidRDefault="00285029" w:rsidP="00285029">
      <w:pPr>
        <w:rPr>
          <w:rFonts w:eastAsia="Times New Roman"/>
        </w:rPr>
      </w:pPr>
      <w:r>
        <w:rPr>
          <w:rFonts w:eastAsia="Times New Roman"/>
        </w:rPr>
        <w:t>Furthermore, it would have been appropriate to reach for eighteenth-century vocabulary in describing C. P. E. Bach’s metric manipulations. The one shown in Example 6b is not a “pre-cadential hemiola” (p. 10), as the author calls it, but an imbroglio (Mirka 2009: 135-150) created by parallelism, which is typical of this manipulation.</w:t>
      </w:r>
    </w:p>
    <w:p w14:paraId="50CC6278" w14:textId="77777777" w:rsidR="00285029" w:rsidRDefault="00285029" w:rsidP="00285029">
      <w:pPr>
        <w:rPr>
          <w:rFonts w:eastAsia="Times New Roman"/>
        </w:rPr>
      </w:pPr>
      <w:r>
        <w:rPr>
          <w:rFonts w:eastAsia="Times New Roman"/>
        </w:rPr>
        <w:t>===Example 6b and its discussion has been excised from the revised version in the interest of focusing the analytical argumentation.</w:t>
      </w:r>
    </w:p>
    <w:p w14:paraId="4BEA7DBE" w14:textId="77777777" w:rsidR="00285029" w:rsidRDefault="00285029" w:rsidP="00285029">
      <w:pPr>
        <w:rPr>
          <w:rFonts w:eastAsia="Times New Roman"/>
        </w:rPr>
      </w:pPr>
      <w:r>
        <w:rPr>
          <w:rFonts w:eastAsia="Times New Roman"/>
        </w:rPr>
        <w:t>===The article states clearly that it is not a purist historically-informed analysis. I speculate briefly on what aspects might be accessible to what types of listeners (e.g., aspects of the meter finding problem at the outset might be more accessible than, say, punctuation form).</w:t>
      </w:r>
    </w:p>
    <w:p w14:paraId="7DE6CE4B" w14:textId="77777777" w:rsidR="00285029" w:rsidRDefault="00285029" w:rsidP="00285029">
      <w:pPr>
        <w:rPr>
          <w:rFonts w:eastAsia="Times New Roman"/>
        </w:rPr>
      </w:pPr>
    </w:p>
    <w:p w14:paraId="1A84FF25" w14:textId="77777777" w:rsidR="00285029" w:rsidRDefault="00285029" w:rsidP="00285029">
      <w:pPr>
        <w:rPr>
          <w:rFonts w:eastAsia="Times New Roman"/>
        </w:rPr>
      </w:pPr>
      <w:r>
        <w:rPr>
          <w:rFonts w:eastAsia="Times New Roman"/>
        </w:rPr>
        <w:t>(The author mentions “registral extremes” in creating this effect, but they are by-products of parallelism, and this important preference factor of metric perception [MPR 1] plays a role in many other examples without being acknowledged by the author.)</w:t>
      </w:r>
    </w:p>
    <w:p w14:paraId="7B3CF77E" w14:textId="77777777" w:rsidR="00285029" w:rsidRDefault="00285029" w:rsidP="00285029">
      <w:pPr>
        <w:rPr>
          <w:rFonts w:eastAsia="Times New Roman"/>
        </w:rPr>
      </w:pPr>
      <w:r>
        <w:rPr>
          <w:rFonts w:eastAsia="Times New Roman"/>
        </w:rPr>
        <w:t xml:space="preserve">===I have explicitly highlighted instances in which parallelism plays a role in metric perception in analytical readings of those passages that have “survived” in the revised manuscript, e.g., in the transformation of the opening artisanal strokes into a secondary-key area </w:t>
      </w:r>
      <w:proofErr w:type="spellStart"/>
      <w:r>
        <w:rPr>
          <w:rFonts w:eastAsia="Times New Roman"/>
        </w:rPr>
        <w:t>Fenaroli</w:t>
      </w:r>
      <w:proofErr w:type="spellEnd"/>
      <w:r>
        <w:rPr>
          <w:rFonts w:eastAsia="Times New Roman"/>
        </w:rPr>
        <w:t xml:space="preserve"> with parallelism (associated with the schema’s typical two-fold repetition of its scale-degree constellation). I have attempted to allude to parallelism in all cases in which it is pertinent within the revised version.</w:t>
      </w:r>
    </w:p>
    <w:p w14:paraId="6CEFA0CB" w14:textId="77777777" w:rsidR="00285029" w:rsidRDefault="00285029" w:rsidP="00285029">
      <w:pPr>
        <w:rPr>
          <w:rFonts w:eastAsia="Times New Roman"/>
        </w:rPr>
      </w:pPr>
    </w:p>
    <w:p w14:paraId="3FF88DE6" w14:textId="77777777" w:rsidR="00285029" w:rsidRDefault="00285029" w:rsidP="00285029">
      <w:pPr>
        <w:rPr>
          <w:rFonts w:eastAsia="Times New Roman"/>
        </w:rPr>
      </w:pPr>
      <w:r>
        <w:rPr>
          <w:rFonts w:eastAsia="Times New Roman"/>
        </w:rPr>
        <w:t>What the author calls “metric states” in Example 12 or, rather, a table “summarizing the interactions of meter, tonality, harmonic/contrapuntal schemata, and metric states,” are the lowest levels of metrical hierarchy and thus don’t deserve the term “metric states,” which typically refers to correlation of several levels (Cohn 2001).</w:t>
      </w:r>
    </w:p>
    <w:p w14:paraId="3D6877AA" w14:textId="77777777" w:rsidR="00285029" w:rsidRDefault="00285029" w:rsidP="00285029">
      <w:pPr>
        <w:rPr>
          <w:rFonts w:eastAsia="Times New Roman"/>
        </w:rPr>
      </w:pPr>
      <w:r>
        <w:rPr>
          <w:rFonts w:eastAsia="Times New Roman"/>
        </w:rPr>
        <w:t>===The resubmission excises the erroneous usage of “metric states” and speaks instead of a compositional “constraint.”</w:t>
      </w:r>
    </w:p>
    <w:p w14:paraId="6BC376B1" w14:textId="77777777" w:rsidR="00285029" w:rsidRDefault="00285029" w:rsidP="00285029">
      <w:pPr>
        <w:rPr>
          <w:rFonts w:eastAsia="Times New Roman"/>
        </w:rPr>
      </w:pPr>
    </w:p>
    <w:p w14:paraId="44AD5E82" w14:textId="77777777" w:rsidR="00285029" w:rsidRDefault="00285029" w:rsidP="00285029">
      <w:pPr>
        <w:rPr>
          <w:rFonts w:eastAsia="Times New Roman"/>
        </w:rPr>
      </w:pPr>
      <w:r>
        <w:rPr>
          <w:rFonts w:eastAsia="Times New Roman"/>
        </w:rPr>
        <w:t>To sum up, what I’m missing in this submission is a clear line of argument that would bring together all the analytical insights scattered here and there throughout its course and present a sustained analysis of an entire movement of C. P. E. Bach’s symphony or its substantial chunk. In order to find this line of argument, the author will have to engage in deep reconceptualization of their enterprise and redress some of its details. This won’t be an easy task and it isn’t clear if the author will be able to accomplish it. I recommend to revise and resubmit in hope that they will!</w:t>
      </w:r>
    </w:p>
    <w:p w14:paraId="4A0F84F5" w14:textId="77777777" w:rsidR="00285029" w:rsidRDefault="00285029" w:rsidP="00285029">
      <w:pPr>
        <w:rPr>
          <w:rFonts w:eastAsia="Times New Roman"/>
        </w:rPr>
      </w:pPr>
      <w:r>
        <w:rPr>
          <w:rFonts w:eastAsia="Times New Roman"/>
        </w:rPr>
        <w:t>===Thanks very much for your incisive critique, which has helped to strengthen my analytical article manuscript.</w:t>
      </w:r>
    </w:p>
    <w:p w14:paraId="506C7BC7" w14:textId="77777777" w:rsidR="00285029" w:rsidRDefault="00285029" w:rsidP="00285029">
      <w:pPr>
        <w:rPr>
          <w:rFonts w:eastAsia="Times New Roman"/>
        </w:rPr>
      </w:pPr>
    </w:p>
    <w:p w14:paraId="6CD553C9" w14:textId="77777777" w:rsidR="00285029" w:rsidRDefault="00285029" w:rsidP="00285029">
      <w:pPr>
        <w:rPr>
          <w:rFonts w:eastAsia="Times New Roman"/>
        </w:rPr>
      </w:pPr>
      <w:r>
        <w:rPr>
          <w:rFonts w:eastAsia="Times New Roman"/>
        </w:rPr>
        <w:t xml:space="preserve">References: </w:t>
      </w:r>
    </w:p>
    <w:p w14:paraId="4EFC45B2" w14:textId="77777777" w:rsidR="00285029" w:rsidRDefault="00285029" w:rsidP="00285029">
      <w:pPr>
        <w:rPr>
          <w:rFonts w:eastAsia="Times New Roman"/>
        </w:rPr>
      </w:pPr>
    </w:p>
    <w:p w14:paraId="3F0AAB49" w14:textId="77777777" w:rsidR="00285029" w:rsidRDefault="00285029" w:rsidP="00285029">
      <w:pPr>
        <w:rPr>
          <w:rFonts w:eastAsia="Times New Roman"/>
        </w:rPr>
      </w:pPr>
      <w:r>
        <w:rPr>
          <w:rFonts w:eastAsia="Times New Roman"/>
        </w:rPr>
        <w:t>Burstein, L. Poundie. 2020. Journeys Through Galant Expositions. New York: Oxford University Press.</w:t>
      </w:r>
    </w:p>
    <w:p w14:paraId="1759DF65" w14:textId="77777777" w:rsidR="00285029" w:rsidRDefault="00285029" w:rsidP="00285029">
      <w:pPr>
        <w:rPr>
          <w:rFonts w:eastAsia="Times New Roman"/>
        </w:rPr>
      </w:pPr>
    </w:p>
    <w:p w14:paraId="6DDBF14B" w14:textId="77777777" w:rsidR="00285029" w:rsidRDefault="00285029" w:rsidP="00285029">
      <w:pPr>
        <w:rPr>
          <w:rFonts w:eastAsia="Times New Roman"/>
        </w:rPr>
      </w:pPr>
      <w:r>
        <w:rPr>
          <w:rFonts w:eastAsia="Times New Roman"/>
        </w:rPr>
        <w:t>Cohn, Richard. 2001. Complex Hemiolas, Ski-Hill Graphs and Metric Spaces. Music Analysis 20/3: 295–326.</w:t>
      </w:r>
    </w:p>
    <w:p w14:paraId="29C4AEA7" w14:textId="77777777" w:rsidR="00285029" w:rsidRDefault="00285029" w:rsidP="00285029">
      <w:pPr>
        <w:rPr>
          <w:rFonts w:eastAsia="Times New Roman"/>
        </w:rPr>
      </w:pPr>
    </w:p>
    <w:p w14:paraId="796CFF6D" w14:textId="77777777" w:rsidR="00285029" w:rsidRDefault="00285029" w:rsidP="00285029">
      <w:pPr>
        <w:rPr>
          <w:rFonts w:eastAsia="Times New Roman"/>
        </w:rPr>
      </w:pPr>
      <w:r>
        <w:rPr>
          <w:rFonts w:eastAsia="Times New Roman"/>
        </w:rPr>
        <w:t>Gjerdingen, Robert O. 2007. Music in the Galant Style. New York: Oxford University Press.</w:t>
      </w:r>
    </w:p>
    <w:p w14:paraId="658FF2BB" w14:textId="77777777" w:rsidR="00285029" w:rsidRDefault="00285029" w:rsidP="00285029">
      <w:pPr>
        <w:rPr>
          <w:rFonts w:eastAsia="Times New Roman"/>
        </w:rPr>
      </w:pPr>
    </w:p>
    <w:p w14:paraId="5E5FCC9E" w14:textId="77777777" w:rsidR="00285029" w:rsidRDefault="00285029" w:rsidP="00285029">
      <w:pPr>
        <w:rPr>
          <w:rFonts w:eastAsia="Times New Roman"/>
        </w:rPr>
      </w:pPr>
      <w:r>
        <w:rPr>
          <w:rFonts w:eastAsia="Times New Roman"/>
        </w:rPr>
        <w:t>Greenberg, Yoel. 2022. How Sonata Forms: A Bottom-Up Approach to Musical Form. New York: Oxford University Press.</w:t>
      </w:r>
    </w:p>
    <w:p w14:paraId="1C39BDB1" w14:textId="77777777" w:rsidR="00285029" w:rsidRDefault="00285029" w:rsidP="00285029">
      <w:pPr>
        <w:rPr>
          <w:rFonts w:eastAsia="Times New Roman"/>
        </w:rPr>
      </w:pPr>
    </w:p>
    <w:p w14:paraId="6E2EDF2D" w14:textId="77777777" w:rsidR="00285029" w:rsidRDefault="00285029" w:rsidP="00285029">
      <w:pPr>
        <w:rPr>
          <w:rFonts w:eastAsia="Times New Roman"/>
        </w:rPr>
      </w:pPr>
      <w:r>
        <w:rPr>
          <w:rFonts w:eastAsia="Times New Roman"/>
        </w:rPr>
        <w:t>Mirka, Danuta. 2009. Metric Manipulations in Haydn and Mozart: Chamber Music for Strings, 1787–1791. New York: Oxford University Press.</w:t>
      </w:r>
    </w:p>
    <w:p w14:paraId="1734C42D" w14:textId="77777777" w:rsidR="00285029" w:rsidRDefault="00285029" w:rsidP="00285029">
      <w:pPr>
        <w:rPr>
          <w:rFonts w:eastAsia="Times New Roman"/>
        </w:rPr>
      </w:pPr>
    </w:p>
    <w:p w14:paraId="5E56AB5E" w14:textId="77777777" w:rsidR="00285029" w:rsidRDefault="00285029" w:rsidP="00285029">
      <w:pPr>
        <w:rPr>
          <w:rFonts w:eastAsia="Times New Roman"/>
        </w:rPr>
      </w:pPr>
      <w:r>
        <w:rPr>
          <w:rFonts w:eastAsia="Times New Roman"/>
        </w:rPr>
        <w:t xml:space="preserve">Sanguinetti, Giorgio. 2012. The Art of </w:t>
      </w:r>
      <w:proofErr w:type="spellStart"/>
      <w:r>
        <w:rPr>
          <w:rFonts w:eastAsia="Times New Roman"/>
        </w:rPr>
        <w:t>Partimento</w:t>
      </w:r>
      <w:proofErr w:type="spellEnd"/>
      <w:r>
        <w:rPr>
          <w:rFonts w:eastAsia="Times New Roman"/>
        </w:rPr>
        <w:t>: History, Theory, and Practice. New York: Oxford University Press</w:t>
      </w:r>
    </w:p>
    <w:p w14:paraId="3DF917C1" w14:textId="77777777" w:rsidR="00285029" w:rsidRDefault="00285029" w:rsidP="00285029">
      <w:pPr>
        <w:rPr>
          <w:rFonts w:eastAsia="Times New Roman"/>
        </w:rPr>
      </w:pPr>
    </w:p>
    <w:p w14:paraId="18112274" w14:textId="77777777" w:rsidR="00285029" w:rsidRDefault="00285029" w:rsidP="00285029">
      <w:pPr>
        <w:rPr>
          <w:rFonts w:eastAsia="Times New Roman"/>
        </w:rPr>
      </w:pPr>
    </w:p>
    <w:p w14:paraId="64637FB9" w14:textId="77777777" w:rsidR="00285029" w:rsidRDefault="00285029" w:rsidP="00285029">
      <w:pPr>
        <w:rPr>
          <w:rFonts w:eastAsia="Times New Roman"/>
        </w:rPr>
      </w:pPr>
    </w:p>
    <w:p w14:paraId="5827D644" w14:textId="77777777" w:rsidR="00285029" w:rsidRDefault="00285029" w:rsidP="00285029">
      <w:pPr>
        <w:rPr>
          <w:rFonts w:eastAsia="Times New Roman"/>
        </w:rPr>
      </w:pPr>
    </w:p>
    <w:p w14:paraId="2CBC3453" w14:textId="77777777" w:rsidR="00C02074" w:rsidRPr="00285029" w:rsidRDefault="00C02074" w:rsidP="00285029"/>
    <w:sectPr w:rsidR="00C02074" w:rsidRPr="002850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029"/>
    <w:rsid w:val="002713AD"/>
    <w:rsid w:val="00285029"/>
    <w:rsid w:val="003235E2"/>
    <w:rsid w:val="003F49B7"/>
    <w:rsid w:val="00AC3E46"/>
    <w:rsid w:val="00C020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BCEF59"/>
  <w15:chartTrackingRefBased/>
  <w15:docId w15:val="{85879196-8DA6-E749-9005-C3AC7DC59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5029"/>
    <w:rPr>
      <w:rFonts w:ascii="Aptos" w:hAnsi="Aptos" w:cs="Aptos"/>
      <w:kern w:val="0"/>
      <w14:ligatures w14:val="none"/>
    </w:rPr>
  </w:style>
  <w:style w:type="paragraph" w:styleId="Heading1">
    <w:name w:val="heading 1"/>
    <w:basedOn w:val="Normal"/>
    <w:next w:val="Normal"/>
    <w:link w:val="Heading1Char"/>
    <w:uiPriority w:val="9"/>
    <w:qFormat/>
    <w:rsid w:val="00285029"/>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85029"/>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85029"/>
    <w:pPr>
      <w:keepNext/>
      <w:keepLines/>
      <w:spacing w:before="160" w:after="8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85029"/>
    <w:pPr>
      <w:keepNext/>
      <w:keepLines/>
      <w:spacing w:before="80" w:after="40"/>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85029"/>
    <w:pPr>
      <w:keepNext/>
      <w:keepLines/>
      <w:spacing w:before="80" w:after="40"/>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85029"/>
    <w:pPr>
      <w:keepNext/>
      <w:keepLines/>
      <w:spacing w:before="40"/>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85029"/>
    <w:pPr>
      <w:keepNext/>
      <w:keepLines/>
      <w:spacing w:before="4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85029"/>
    <w:pPr>
      <w:keepNext/>
      <w:keepLines/>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85029"/>
    <w:pPr>
      <w:keepNext/>
      <w:keepLines/>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0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50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50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50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50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50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0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0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029"/>
    <w:rPr>
      <w:rFonts w:eastAsiaTheme="majorEastAsia" w:cstheme="majorBidi"/>
      <w:color w:val="272727" w:themeColor="text1" w:themeTint="D8"/>
    </w:rPr>
  </w:style>
  <w:style w:type="paragraph" w:styleId="Title">
    <w:name w:val="Title"/>
    <w:basedOn w:val="Normal"/>
    <w:next w:val="Normal"/>
    <w:link w:val="TitleChar"/>
    <w:uiPriority w:val="10"/>
    <w:qFormat/>
    <w:rsid w:val="00285029"/>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850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5029"/>
    <w:pPr>
      <w:numPr>
        <w:ilvl w:val="1"/>
      </w:numPr>
      <w:spacing w:after="16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850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5029"/>
    <w:pPr>
      <w:spacing w:before="160" w:after="160"/>
      <w:jc w:val="center"/>
    </w:pPr>
    <w:rPr>
      <w:rFonts w:ascii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285029"/>
    <w:rPr>
      <w:i/>
      <w:iCs/>
      <w:color w:val="404040" w:themeColor="text1" w:themeTint="BF"/>
    </w:rPr>
  </w:style>
  <w:style w:type="paragraph" w:styleId="ListParagraph">
    <w:name w:val="List Paragraph"/>
    <w:basedOn w:val="Normal"/>
    <w:uiPriority w:val="34"/>
    <w:qFormat/>
    <w:rsid w:val="00285029"/>
    <w:pPr>
      <w:ind w:left="720"/>
      <w:contextualSpacing/>
    </w:pPr>
    <w:rPr>
      <w:rFonts w:asciiTheme="minorHAnsi" w:hAnsiTheme="minorHAnsi" w:cstheme="minorBidi"/>
      <w:kern w:val="2"/>
      <w14:ligatures w14:val="standardContextual"/>
    </w:rPr>
  </w:style>
  <w:style w:type="character" w:styleId="IntenseEmphasis">
    <w:name w:val="Intense Emphasis"/>
    <w:basedOn w:val="DefaultParagraphFont"/>
    <w:uiPriority w:val="21"/>
    <w:qFormat/>
    <w:rsid w:val="00285029"/>
    <w:rPr>
      <w:i/>
      <w:iCs/>
      <w:color w:val="0F4761" w:themeColor="accent1" w:themeShade="BF"/>
    </w:rPr>
  </w:style>
  <w:style w:type="paragraph" w:styleId="IntenseQuote">
    <w:name w:val="Intense Quote"/>
    <w:basedOn w:val="Normal"/>
    <w:next w:val="Normal"/>
    <w:link w:val="IntenseQuoteChar"/>
    <w:uiPriority w:val="30"/>
    <w:qFormat/>
    <w:rsid w:val="00285029"/>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285029"/>
    <w:rPr>
      <w:i/>
      <w:iCs/>
      <w:color w:val="0F4761" w:themeColor="accent1" w:themeShade="BF"/>
    </w:rPr>
  </w:style>
  <w:style w:type="character" w:styleId="IntenseReference">
    <w:name w:val="Intense Reference"/>
    <w:basedOn w:val="DefaultParagraphFont"/>
    <w:uiPriority w:val="32"/>
    <w:qFormat/>
    <w:rsid w:val="002850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8162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3171</Words>
  <Characters>18076</Characters>
  <Application>Microsoft Office Word</Application>
  <DocSecurity>0</DocSecurity>
  <Lines>150</Lines>
  <Paragraphs>42</Paragraphs>
  <ScaleCrop>false</ScaleCrop>
  <Company/>
  <LinksUpToDate>false</LinksUpToDate>
  <CharactersWithSpaces>21205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Trevor O. deClercq</dc:creator>
  <cp:keywords/>
  <dc:description/>
  <cp:lastModifiedBy>Trevor O. deClercq</cp:lastModifiedBy>
  <cp:revision>1</cp:revision>
  <dcterms:created xsi:type="dcterms:W3CDTF">2025-01-03T00:00:00Z</dcterms:created>
  <dcterms:modified xsi:type="dcterms:W3CDTF">2025-01-03T00:01:00Z</dcterms:modified>
</cp:coreProperties>
</file>