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49706" w14:textId="77777777" w:rsidR="006B4EDA" w:rsidRDefault="006B4EDA" w:rsidP="006B4EDA">
      <w:pPr>
        <w:autoSpaceDE w:val="0"/>
        <w:autoSpaceDN w:val="0"/>
        <w:adjustRightInd w:val="0"/>
        <w:jc w:val="center"/>
        <w:rPr>
          <w:rFonts w:ascii="Times New Roman" w:hAnsi="Times New Roman" w:cs="Times New Roman"/>
        </w:rPr>
      </w:pPr>
      <w:r>
        <w:rPr>
          <w:rFonts w:ascii="Times New Roman" w:hAnsi="Times New Roman" w:cs="Times New Roman"/>
        </w:rPr>
        <w:t>“Rational Deceptions</w:t>
      </w:r>
      <w:r w:rsidRPr="00EA6AD9">
        <w:rPr>
          <w:rFonts w:ascii="Times New Roman" w:hAnsi="Times New Roman" w:cs="Times New Roman"/>
        </w:rPr>
        <w:t>?</w:t>
      </w:r>
    </w:p>
    <w:p w14:paraId="3C726E96" w14:textId="77777777" w:rsidR="006B4EDA" w:rsidRDefault="006B4EDA" w:rsidP="006B4EDA">
      <w:pPr>
        <w:autoSpaceDE w:val="0"/>
        <w:autoSpaceDN w:val="0"/>
        <w:adjustRightInd w:val="0"/>
        <w:jc w:val="center"/>
        <w:rPr>
          <w:rFonts w:ascii="Times New Roman" w:hAnsi="Times New Roman" w:cs="Times New Roman"/>
        </w:rPr>
      </w:pPr>
      <w:r>
        <w:rPr>
          <w:rFonts w:ascii="Times New Roman" w:hAnsi="Times New Roman" w:cs="Times New Roman"/>
        </w:rPr>
        <w:t>An Analytical Exploration of Tonality</w:t>
      </w:r>
      <w:r w:rsidRPr="00EA6AD9">
        <w:rPr>
          <w:rFonts w:ascii="Times New Roman" w:hAnsi="Times New Roman" w:cs="Times New Roman"/>
        </w:rPr>
        <w:t xml:space="preserve">, Meter, and </w:t>
      </w:r>
      <w:r>
        <w:rPr>
          <w:rFonts w:ascii="Times New Roman" w:hAnsi="Times New Roman" w:cs="Times New Roman"/>
        </w:rPr>
        <w:t>Form</w:t>
      </w:r>
      <w:r w:rsidRPr="00EA6AD9">
        <w:rPr>
          <w:rFonts w:ascii="Times New Roman" w:hAnsi="Times New Roman" w:cs="Times New Roman"/>
        </w:rPr>
        <w:t xml:space="preserve"> in C. P. E. Bach’s Symphony in D Major, Wq. 183/1</w:t>
      </w:r>
      <w:r>
        <w:rPr>
          <w:rFonts w:ascii="Times New Roman" w:hAnsi="Times New Roman" w:cs="Times New Roman"/>
        </w:rPr>
        <w:t>”</w:t>
      </w:r>
    </w:p>
    <w:p w14:paraId="0D094D2F" w14:textId="77777777" w:rsidR="006B4EDA" w:rsidRPr="00EA6AD9" w:rsidRDefault="006B4EDA" w:rsidP="006B4EDA">
      <w:pPr>
        <w:autoSpaceDE w:val="0"/>
        <w:autoSpaceDN w:val="0"/>
        <w:adjustRightInd w:val="0"/>
        <w:jc w:val="center"/>
        <w:rPr>
          <w:rFonts w:ascii="Times New Roman" w:hAnsi="Times New Roman" w:cs="Times New Roman"/>
        </w:rPr>
      </w:pPr>
      <w:r>
        <w:rPr>
          <w:rFonts w:ascii="Times New Roman" w:hAnsi="Times New Roman" w:cs="Times New Roman"/>
        </w:rPr>
        <w:t>(Reader’s report)</w:t>
      </w:r>
    </w:p>
    <w:p w14:paraId="38E2B71A" w14:textId="77777777" w:rsidR="006B4EDA" w:rsidRPr="001675B6" w:rsidRDefault="006B4EDA" w:rsidP="006B4EDA">
      <w:pPr>
        <w:autoSpaceDE w:val="0"/>
        <w:autoSpaceDN w:val="0"/>
        <w:adjustRightInd w:val="0"/>
        <w:rPr>
          <w:rFonts w:ascii="Times New Roman" w:hAnsi="Times New Roman" w:cs="Times New Roman"/>
        </w:rPr>
      </w:pPr>
    </w:p>
    <w:p w14:paraId="6C972EAB" w14:textId="77777777" w:rsidR="006B4EDA" w:rsidRDefault="006B4EDA" w:rsidP="006B4EDA">
      <w:pPr>
        <w:autoSpaceDE w:val="0"/>
        <w:autoSpaceDN w:val="0"/>
        <w:adjustRightInd w:val="0"/>
        <w:rPr>
          <w:rFonts w:ascii="Times New Roman" w:hAnsi="Times New Roman" w:cs="Times New Roman"/>
        </w:rPr>
      </w:pPr>
    </w:p>
    <w:p w14:paraId="7EE6483C" w14:textId="77777777" w:rsidR="006B4EDA" w:rsidRDefault="006B4EDA" w:rsidP="006B4EDA">
      <w:pPr>
        <w:autoSpaceDE w:val="0"/>
        <w:autoSpaceDN w:val="0"/>
        <w:adjustRightInd w:val="0"/>
        <w:rPr>
          <w:rFonts w:ascii="Times New Roman" w:hAnsi="Times New Roman" w:cs="Times New Roman"/>
        </w:rPr>
      </w:pPr>
      <w:r>
        <w:rPr>
          <w:rFonts w:ascii="Times New Roman" w:hAnsi="Times New Roman" w:cs="Times New Roman"/>
        </w:rPr>
        <w:t>I am very</w:t>
      </w:r>
      <w:r w:rsidRPr="00321CA8">
        <w:rPr>
          <w:rFonts w:ascii="Times New Roman" w:hAnsi="Times New Roman" w:cs="Times New Roman"/>
        </w:rPr>
        <w:t xml:space="preserve"> pleased by th</w:t>
      </w:r>
      <w:r>
        <w:rPr>
          <w:rFonts w:ascii="Times New Roman" w:hAnsi="Times New Roman" w:cs="Times New Roman"/>
        </w:rPr>
        <w:t>e</w:t>
      </w:r>
      <w:r w:rsidRPr="00321CA8">
        <w:rPr>
          <w:rFonts w:ascii="Times New Roman" w:hAnsi="Times New Roman" w:cs="Times New Roman"/>
        </w:rPr>
        <w:t xml:space="preserve"> overhaul </w:t>
      </w:r>
      <w:r>
        <w:rPr>
          <w:rFonts w:ascii="Times New Roman" w:hAnsi="Times New Roman" w:cs="Times New Roman"/>
        </w:rPr>
        <w:t>of this submission! The</w:t>
      </w:r>
      <w:r w:rsidRPr="00321CA8">
        <w:rPr>
          <w:rFonts w:ascii="Times New Roman" w:hAnsi="Times New Roman" w:cs="Times New Roman"/>
        </w:rPr>
        <w:t xml:space="preserve"> adoption of Burstein</w:t>
      </w:r>
      <w:r>
        <w:rPr>
          <w:rFonts w:ascii="Times New Roman" w:hAnsi="Times New Roman" w:cs="Times New Roman"/>
        </w:rPr>
        <w:t>’s neo-Kochian approach to sonata form</w:t>
      </w:r>
      <w:r w:rsidRPr="00321CA8">
        <w:rPr>
          <w:rFonts w:ascii="Times New Roman" w:hAnsi="Times New Roman" w:cs="Times New Roman"/>
        </w:rPr>
        <w:t xml:space="preserve"> and </w:t>
      </w:r>
      <w:r>
        <w:rPr>
          <w:rFonts w:ascii="Times New Roman" w:hAnsi="Times New Roman" w:cs="Times New Roman"/>
        </w:rPr>
        <w:t xml:space="preserve">the </w:t>
      </w:r>
      <w:r w:rsidRPr="00321CA8">
        <w:rPr>
          <w:rFonts w:ascii="Times New Roman" w:hAnsi="Times New Roman" w:cs="Times New Roman"/>
        </w:rPr>
        <w:t>incorporation of Byros</w:t>
      </w:r>
      <w:r>
        <w:rPr>
          <w:rFonts w:ascii="Times New Roman" w:hAnsi="Times New Roman" w:cs="Times New Roman"/>
        </w:rPr>
        <w:t>’s research into the diminished seventh and its use in the 18</w:t>
      </w:r>
      <w:r w:rsidRPr="00321CA8">
        <w:rPr>
          <w:rFonts w:ascii="Times New Roman" w:hAnsi="Times New Roman" w:cs="Times New Roman"/>
          <w:vertAlign w:val="superscript"/>
        </w:rPr>
        <w:t>th</w:t>
      </w:r>
      <w:r>
        <w:rPr>
          <w:rFonts w:ascii="Times New Roman" w:hAnsi="Times New Roman" w:cs="Times New Roman"/>
        </w:rPr>
        <w:t xml:space="preserve"> century result in stronger methodological foundations of the analysis and provide it with a significant historical validity. At the same time, they don’t detract the author from the “eclectic” approach in which different listeners’ perspectives find their places and belong to one narrative. (The author frames this “eclectic” approach in “presentist” terms in footnote 2. The same point could be framed in “historicist” terms. Both now and then, certain compositional manipulations would be accessible to all listeners, while others only to stylistically aware or theoretically informed listeners.) </w:t>
      </w:r>
    </w:p>
    <w:p w14:paraId="636E1836" w14:textId="77777777" w:rsidR="006B4EDA" w:rsidRDefault="006B4EDA" w:rsidP="006B4EDA">
      <w:pPr>
        <w:autoSpaceDE w:val="0"/>
        <w:autoSpaceDN w:val="0"/>
        <w:adjustRightInd w:val="0"/>
        <w:rPr>
          <w:rFonts w:ascii="Times New Roman" w:hAnsi="Times New Roman" w:cs="Times New Roman"/>
        </w:rPr>
      </w:pPr>
    </w:p>
    <w:p w14:paraId="11A3B78C" w14:textId="77777777" w:rsidR="006B4EDA" w:rsidRDefault="006B4EDA" w:rsidP="006B4EDA">
      <w:pPr>
        <w:autoSpaceDE w:val="0"/>
        <w:autoSpaceDN w:val="0"/>
        <w:adjustRightInd w:val="0"/>
        <w:rPr>
          <w:rFonts w:ascii="Times New Roman" w:hAnsi="Times New Roman" w:cs="Times New Roman"/>
        </w:rPr>
      </w:pPr>
      <w:r>
        <w:rPr>
          <w:rFonts w:ascii="Times New Roman" w:hAnsi="Times New Roman" w:cs="Times New Roman"/>
        </w:rPr>
        <w:t xml:space="preserve">The greatest improvement is the coherence of the analysis and its reader-friendly layout. </w:t>
      </w:r>
      <w:r w:rsidRPr="00321CA8">
        <w:rPr>
          <w:rFonts w:ascii="Times New Roman" w:hAnsi="Times New Roman" w:cs="Times New Roman"/>
        </w:rPr>
        <w:t>I find the argument streamlined</w:t>
      </w:r>
      <w:r>
        <w:rPr>
          <w:rFonts w:ascii="Times New Roman" w:hAnsi="Times New Roman" w:cs="Times New Roman"/>
        </w:rPr>
        <w:t xml:space="preserve">, </w:t>
      </w:r>
      <w:r w:rsidRPr="00321CA8">
        <w:rPr>
          <w:rFonts w:ascii="Times New Roman" w:hAnsi="Times New Roman" w:cs="Times New Roman"/>
        </w:rPr>
        <w:t>the analys</w:t>
      </w:r>
      <w:r>
        <w:rPr>
          <w:rFonts w:ascii="Times New Roman" w:hAnsi="Times New Roman" w:cs="Times New Roman"/>
        </w:rPr>
        <w:t>i</w:t>
      </w:r>
      <w:r w:rsidRPr="00321CA8">
        <w:rPr>
          <w:rFonts w:ascii="Times New Roman" w:hAnsi="Times New Roman" w:cs="Times New Roman"/>
        </w:rPr>
        <w:t xml:space="preserve">s </w:t>
      </w:r>
      <w:r>
        <w:rPr>
          <w:rFonts w:ascii="Times New Roman" w:hAnsi="Times New Roman" w:cs="Times New Roman"/>
        </w:rPr>
        <w:t xml:space="preserve">consistently </w:t>
      </w:r>
      <w:r w:rsidRPr="00321CA8">
        <w:rPr>
          <w:rFonts w:ascii="Times New Roman" w:hAnsi="Times New Roman" w:cs="Times New Roman"/>
        </w:rPr>
        <w:t>thorough</w:t>
      </w:r>
      <w:r>
        <w:rPr>
          <w:rFonts w:ascii="Times New Roman" w:hAnsi="Times New Roman" w:cs="Times New Roman"/>
        </w:rPr>
        <w:t>,</w:t>
      </w:r>
      <w:r w:rsidRPr="00321CA8">
        <w:rPr>
          <w:rFonts w:ascii="Times New Roman" w:hAnsi="Times New Roman" w:cs="Times New Roman"/>
        </w:rPr>
        <w:t xml:space="preserve"> </w:t>
      </w:r>
      <w:r>
        <w:rPr>
          <w:rFonts w:ascii="Times New Roman" w:hAnsi="Times New Roman" w:cs="Times New Roman"/>
        </w:rPr>
        <w:t>and the author’s thesis easier to follow. With the discussion proceeding in a roughly chronological manner, it is much easier to understand how C. P. E. Bach stages the “problems” of his symphonic movement in the opening and “resolves” them in the sonata-form continuation. It is also easier to trace the order of the “problems” and “resolutions” in different domains, and it becomes clear why and how they are intertwined. For me, the thesis is very attractive, and it is borne out by the analysis, though some analytical details are admittedly speculative.</w:t>
      </w:r>
    </w:p>
    <w:p w14:paraId="50C526DD" w14:textId="77777777" w:rsidR="006B4EDA" w:rsidRDefault="006B4EDA" w:rsidP="006B4EDA">
      <w:pPr>
        <w:autoSpaceDE w:val="0"/>
        <w:autoSpaceDN w:val="0"/>
        <w:adjustRightInd w:val="0"/>
        <w:rPr>
          <w:rFonts w:ascii="Times New Roman" w:hAnsi="Times New Roman" w:cs="Times New Roman"/>
        </w:rPr>
      </w:pPr>
    </w:p>
    <w:p w14:paraId="3670BE2F" w14:textId="77777777" w:rsidR="006B4EDA" w:rsidRDefault="006B4EDA" w:rsidP="006B4EDA">
      <w:pPr>
        <w:autoSpaceDE w:val="0"/>
        <w:autoSpaceDN w:val="0"/>
        <w:adjustRightInd w:val="0"/>
        <w:rPr>
          <w:rFonts w:ascii="Times New Roman" w:hAnsi="Times New Roman" w:cs="Times New Roman"/>
        </w:rPr>
      </w:pPr>
      <w:r>
        <w:rPr>
          <w:rFonts w:ascii="Times New Roman" w:hAnsi="Times New Roman" w:cs="Times New Roman"/>
        </w:rPr>
        <w:t>The other great improvement is the discussion of the theoretical context of C. P. E. Bach and his music, which leads straight to the author’s second thesis, according to which the first movement</w:t>
      </w:r>
      <w:r w:rsidRPr="00321CA8">
        <w:rPr>
          <w:rFonts w:ascii="Times New Roman" w:hAnsi="Times New Roman" w:cs="Times New Roman"/>
        </w:rPr>
        <w:t xml:space="preserve"> </w:t>
      </w:r>
      <w:r>
        <w:rPr>
          <w:rFonts w:ascii="Times New Roman" w:hAnsi="Times New Roman" w:cs="Times New Roman"/>
        </w:rPr>
        <w:t xml:space="preserve">of Wq. 183/1 </w:t>
      </w:r>
      <w:r w:rsidRPr="00321CA8">
        <w:rPr>
          <w:rFonts w:ascii="Times New Roman" w:hAnsi="Times New Roman" w:cs="Times New Roman"/>
        </w:rPr>
        <w:t xml:space="preserve">is a “hidden theoretical commentary” on Kirnberger’s </w:t>
      </w:r>
      <w:r>
        <w:rPr>
          <w:rFonts w:ascii="Times New Roman" w:hAnsi="Times New Roman" w:cs="Times New Roman"/>
          <w:i/>
          <w:iCs/>
        </w:rPr>
        <w:t>Die Kunst des reinen Satzes in der Musik</w:t>
      </w:r>
      <w:r>
        <w:rPr>
          <w:rFonts w:ascii="Times New Roman" w:hAnsi="Times New Roman" w:cs="Times New Roman"/>
        </w:rPr>
        <w:t>. The</w:t>
      </w:r>
      <w:r w:rsidRPr="00321CA8">
        <w:rPr>
          <w:rFonts w:ascii="Times New Roman" w:hAnsi="Times New Roman" w:cs="Times New Roman"/>
        </w:rPr>
        <w:t xml:space="preserve"> historical and biographical details </w:t>
      </w:r>
      <w:r>
        <w:rPr>
          <w:rFonts w:ascii="Times New Roman" w:hAnsi="Times New Roman" w:cs="Times New Roman"/>
        </w:rPr>
        <w:t>the author invokes to support this thesis are revealing, and in their light the peculiarities of Wq. 183/1 become far more understandable. (I appreciated the</w:t>
      </w:r>
      <w:r w:rsidRPr="00321CA8">
        <w:rPr>
          <w:rFonts w:ascii="Times New Roman" w:hAnsi="Times New Roman" w:cs="Times New Roman"/>
        </w:rPr>
        <w:t xml:space="preserve"> comparison </w:t>
      </w:r>
      <w:r>
        <w:rPr>
          <w:rFonts w:ascii="Times New Roman" w:hAnsi="Times New Roman" w:cs="Times New Roman"/>
        </w:rPr>
        <w:t>of Wq. 183/1 to</w:t>
      </w:r>
      <w:r w:rsidRPr="00321CA8">
        <w:rPr>
          <w:rFonts w:ascii="Times New Roman" w:hAnsi="Times New Roman" w:cs="Times New Roman"/>
        </w:rPr>
        <w:t xml:space="preserve"> Wq. 179</w:t>
      </w:r>
      <w:r>
        <w:rPr>
          <w:rFonts w:ascii="Times New Roman" w:hAnsi="Times New Roman" w:cs="Times New Roman"/>
        </w:rPr>
        <w:t>, which</w:t>
      </w:r>
      <w:r w:rsidRPr="00321CA8">
        <w:rPr>
          <w:rFonts w:ascii="Times New Roman" w:hAnsi="Times New Roman" w:cs="Times New Roman"/>
        </w:rPr>
        <w:t xml:space="preserve"> is illuminating </w:t>
      </w:r>
      <w:r>
        <w:rPr>
          <w:rFonts w:ascii="Times New Roman" w:hAnsi="Times New Roman" w:cs="Times New Roman"/>
        </w:rPr>
        <w:t>and further supports the author’s second thesis, due to the attention it received from Kirnberger.)</w:t>
      </w:r>
    </w:p>
    <w:p w14:paraId="1E3CD902" w14:textId="77777777" w:rsidR="006B4EDA" w:rsidRDefault="006B4EDA" w:rsidP="006B4EDA">
      <w:pPr>
        <w:autoSpaceDE w:val="0"/>
        <w:autoSpaceDN w:val="0"/>
        <w:adjustRightInd w:val="0"/>
        <w:rPr>
          <w:rFonts w:ascii="Times New Roman" w:hAnsi="Times New Roman" w:cs="Times New Roman"/>
        </w:rPr>
      </w:pPr>
    </w:p>
    <w:p w14:paraId="1F5DE397" w14:textId="77777777" w:rsidR="006B4EDA" w:rsidRPr="003C7219" w:rsidRDefault="006B4EDA" w:rsidP="006B4EDA">
      <w:pPr>
        <w:autoSpaceDE w:val="0"/>
        <w:autoSpaceDN w:val="0"/>
        <w:adjustRightInd w:val="0"/>
        <w:rPr>
          <w:rFonts w:ascii="Times New Roman" w:hAnsi="Times New Roman" w:cs="Times New Roman"/>
        </w:rPr>
      </w:pPr>
      <w:r>
        <w:rPr>
          <w:rFonts w:ascii="Times New Roman" w:hAnsi="Times New Roman" w:cs="Times New Roman"/>
        </w:rPr>
        <w:t>All these significant improvements make of this submission an exciting analytical essay, which I recommend for publication. The only request I have to the author is to explain the idea of different</w:t>
      </w:r>
      <w:r w:rsidRPr="00321CA8">
        <w:rPr>
          <w:rFonts w:ascii="Times New Roman" w:hAnsi="Times New Roman" w:cs="Times New Roman"/>
        </w:rPr>
        <w:t xml:space="preserve"> levels of subdivision </w:t>
      </w:r>
      <w:r>
        <w:rPr>
          <w:rFonts w:ascii="Times New Roman" w:hAnsi="Times New Roman" w:cs="Times New Roman"/>
        </w:rPr>
        <w:t xml:space="preserve">appropriate for different meters. The author mentions it for the first time on page 15, then indicates in Example 12d on page 32 and further discusses on page 33, but—unless I missed this—s/he never provides any details of this idea, which will be unfamiliar to most readers and thus requires clarification. Why does “the availability of a lowest-possible subdivision” change in Example 12d and how is this motivated by Kirnberger? </w:t>
      </w:r>
    </w:p>
    <w:p w14:paraId="6FF0E4BB" w14:textId="77777777" w:rsidR="006B4EDA" w:rsidRPr="003C7219" w:rsidRDefault="006B4EDA" w:rsidP="006B4EDA">
      <w:pPr>
        <w:rPr>
          <w:rFonts w:ascii="Times New Roman" w:hAnsi="Times New Roman" w:cs="Times New Roman"/>
        </w:rPr>
      </w:pPr>
    </w:p>
    <w:p w14:paraId="0783C1B7" w14:textId="77777777" w:rsidR="00C02074" w:rsidRDefault="00C02074"/>
    <w:sectPr w:rsidR="00C02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EDA"/>
    <w:rsid w:val="002713AD"/>
    <w:rsid w:val="003235E2"/>
    <w:rsid w:val="005C5D98"/>
    <w:rsid w:val="006B4EDA"/>
    <w:rsid w:val="007B75B1"/>
    <w:rsid w:val="00AC3E46"/>
    <w:rsid w:val="00C02074"/>
    <w:rsid w:val="00C97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038361"/>
  <w15:chartTrackingRefBased/>
  <w15:docId w15:val="{FE69278E-42C4-2F48-9741-E4727058D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EDA"/>
    <w:pPr>
      <w:spacing w:after="0" w:line="240" w:lineRule="auto"/>
    </w:pPr>
    <w:rPr>
      <w:kern w:val="0"/>
      <w14:ligatures w14:val="none"/>
    </w:rPr>
  </w:style>
  <w:style w:type="paragraph" w:styleId="Heading1">
    <w:name w:val="heading 1"/>
    <w:basedOn w:val="Normal"/>
    <w:next w:val="Normal"/>
    <w:link w:val="Heading1Char"/>
    <w:uiPriority w:val="9"/>
    <w:qFormat/>
    <w:rsid w:val="006B4ED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B4ED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B4EDA"/>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B4EDA"/>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B4EDA"/>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B4EDA"/>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B4EDA"/>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B4EDA"/>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B4EDA"/>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E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E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E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E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E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EDA"/>
    <w:rPr>
      <w:rFonts w:eastAsiaTheme="majorEastAsia" w:cstheme="majorBidi"/>
      <w:color w:val="272727" w:themeColor="text1" w:themeTint="D8"/>
    </w:rPr>
  </w:style>
  <w:style w:type="paragraph" w:styleId="Title">
    <w:name w:val="Title"/>
    <w:basedOn w:val="Normal"/>
    <w:next w:val="Normal"/>
    <w:link w:val="TitleChar"/>
    <w:uiPriority w:val="10"/>
    <w:qFormat/>
    <w:rsid w:val="006B4ED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B4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EDA"/>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B4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EDA"/>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6B4EDA"/>
    <w:rPr>
      <w:i/>
      <w:iCs/>
      <w:color w:val="404040" w:themeColor="text1" w:themeTint="BF"/>
    </w:rPr>
  </w:style>
  <w:style w:type="paragraph" w:styleId="ListParagraph">
    <w:name w:val="List Paragraph"/>
    <w:basedOn w:val="Normal"/>
    <w:uiPriority w:val="34"/>
    <w:qFormat/>
    <w:rsid w:val="006B4EDA"/>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6B4EDA"/>
    <w:rPr>
      <w:i/>
      <w:iCs/>
      <w:color w:val="0F4761" w:themeColor="accent1" w:themeShade="BF"/>
    </w:rPr>
  </w:style>
  <w:style w:type="paragraph" w:styleId="IntenseQuote">
    <w:name w:val="Intense Quote"/>
    <w:basedOn w:val="Normal"/>
    <w:next w:val="Normal"/>
    <w:link w:val="IntenseQuoteChar"/>
    <w:uiPriority w:val="30"/>
    <w:qFormat/>
    <w:rsid w:val="006B4ED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B4EDA"/>
    <w:rPr>
      <w:i/>
      <w:iCs/>
      <w:color w:val="0F4761" w:themeColor="accent1" w:themeShade="BF"/>
    </w:rPr>
  </w:style>
  <w:style w:type="character" w:styleId="IntenseReference">
    <w:name w:val="Intense Reference"/>
    <w:basedOn w:val="DefaultParagraphFont"/>
    <w:uiPriority w:val="32"/>
    <w:qFormat/>
    <w:rsid w:val="006B4E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472</Words>
  <Characters>2516</Characters>
  <Application>Microsoft Office Word</Application>
  <DocSecurity>0</DocSecurity>
  <Lines>41</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O. deClercq</dc:creator>
  <cp:keywords/>
  <dc:description/>
  <cp:lastModifiedBy>Trevor O. deClercq</cp:lastModifiedBy>
  <cp:revision>2</cp:revision>
  <dcterms:created xsi:type="dcterms:W3CDTF">2025-03-23T15:39:00Z</dcterms:created>
  <dcterms:modified xsi:type="dcterms:W3CDTF">2025-03-23T15:39:00Z</dcterms:modified>
  <cp:category/>
</cp:coreProperties>
</file>