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jc w:val="center"/>
      </w:pPr>
      <w:r>
        <w:rPr>
          <w:rFonts w:ascii="Times New Roman" w:cs="Times New Roman" w:eastAsia="Times New Roman" w:hAnsi="Times New Roman"/>
          <w:sz w:val="22"/>
          <w:szCs w:val="22"/>
        </w:rPr>
        <w:t xml:space="preserve">CIS 3715: Principles of Data Science — Progress Report II</w:t>
      </w:r>
    </w:p>
    <w:p>
      <w:pPr>
        <w:spacing w:after="120" w:before="0" w:line="240" w:lineRule="auto"/>
        <w:jc w:val="center"/>
      </w:pPr>
      <w:r>
        <w:rPr>
          <w:rFonts w:ascii="Times New Roman" w:cs="Times New Roman" w:eastAsia="Times New Roman" w:hAnsi="Times New Roman"/>
          <w:sz w:val="22"/>
          <w:szCs w:val="22"/>
        </w:rPr>
        <w:t xml:space="preserve">Disease Prediction from Symptom Profiles:</w:t>
      </w:r>
    </w:p>
    <w:p>
      <w:pPr>
        <w:spacing w:after="120" w:before="0" w:line="240" w:lineRule="auto"/>
        <w:jc w:val="center"/>
      </w:pPr>
      <w:r>
        <w:rPr>
          <w:rFonts w:ascii="Times New Roman" w:cs="Times New Roman" w:eastAsia="Times New Roman" w:hAnsi="Times New Roman"/>
          <w:sz w:val="22"/>
          <w:szCs w:val="22"/>
        </w:rPr>
        <w:t xml:space="preserve">A Comparative Study of Supervised and Unsupervised Machine Learning</w:t>
      </w:r>
    </w:p>
    <w:p>
      <w:pPr>
        <w:spacing w:after="0" w:before="0" w:line="240" w:lineRule="auto"/>
      </w:pPr>
    </w:p>
    <w:p>
      <w:pPr>
        <w:spacing w:after="120" w:before="0" w:line="240" w:lineRule="auto"/>
        <w:jc w:val="center"/>
      </w:pPr>
      <w:r>
        <w:rPr>
          <w:rFonts w:ascii="Times New Roman" w:cs="Times New Roman" w:eastAsia="Times New Roman" w:hAnsi="Times New Roman"/>
          <w:sz w:val="22"/>
          <w:szCs w:val="22"/>
        </w:rPr>
        <w:t xml:space="preserve">Matthew Setiadi  |  Dr. Hongchang Gao  |  Temple University  |  April 13, 2026</w:t>
      </w:r>
    </w:p>
    <w:p>
      <w:pPr>
        <w:spacing w:after="0" w:before="0" w:line="240" w:lineRule="auto"/>
      </w:pPr>
    </w:p>
    <w:p>
      <w:pPr>
        <w:spacing w:after="80" w:before="200" w:line="240" w:lineRule="auto"/>
      </w:pPr>
      <w:r>
        <w:rPr>
          <w:rFonts w:ascii="Times New Roman" w:cs="Times New Roman" w:eastAsia="Times New Roman" w:hAnsi="Times New Roman"/>
          <w:b/>
          <w:bCs/>
          <w:sz w:val="22"/>
          <w:szCs w:val="22"/>
          <w:u w:val="single"/>
        </w:rPr>
        <w:t xml:space="preserve">I. What Has Been Done Since Progress Report I</w:t>
      </w:r>
    </w:p>
    <w:p>
      <w:pPr>
        <w:spacing w:after="120" w:before="0" w:line="240" w:lineRule="auto"/>
        <w:jc w:val="both"/>
      </w:pPr>
      <w:r>
        <w:rPr>
          <w:rFonts w:ascii="Times New Roman" w:cs="Times New Roman" w:eastAsia="Times New Roman" w:hAnsi="Times New Roman"/>
          <w:sz w:val="22"/>
          <w:szCs w:val="22"/>
        </w:rPr>
        <w:t xml:space="preserve">Between Progress Report I (April 6) and this report, I completed the full modeling phase of the project, including all three supervised classifiers and both unsupervised clustering methods. The following work has been finished:</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Zero-Variance Feature Removal.  </w:t>
      </w:r>
      <w:r>
        <w:rPr>
          <w:rFonts w:ascii="Times New Roman" w:cs="Times New Roman" w:eastAsia="Times New Roman" w:hAnsi="Times New Roman"/>
          <w:sz w:val="22"/>
          <w:szCs w:val="22"/>
        </w:rPr>
        <w:t xml:space="preserve">Within the top-15 disease subset (18,228 rows × 377 symptoms), I identified 276 symptom columns with zero variance — features that are uniformly zero across all selected disease classes and therefore carry no discriminative signal. These columns were dropped, reducing the clean feature matrix to 101 informative symptom features (X_scaled_clean: 18,228 × 101).</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Train-Test Split.  </w:t>
      </w:r>
      <w:r>
        <w:rPr>
          <w:rFonts w:ascii="Times New Roman" w:cs="Times New Roman" w:eastAsia="Times New Roman" w:hAnsi="Times New Roman"/>
          <w:sz w:val="22"/>
          <w:szCs w:val="22"/>
        </w:rPr>
        <w:t xml:space="preserve">I applied an 80/20 stratified train-test split with random_state=42, yielding a training set of 14,582 samples and a test set of 3,646 samples, each with 101 features. Stratification ensures equal class representation in both splits.</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Supervised Learning — Three Classifiers Trained and Evaluated.  </w:t>
      </w:r>
      <w:r>
        <w:rPr>
          <w:rFonts w:ascii="Times New Roman" w:cs="Times New Roman" w:eastAsia="Times New Roman" w:hAnsi="Times New Roman"/>
          <w:sz w:val="22"/>
          <w:szCs w:val="22"/>
        </w:rPr>
        <w:t xml:space="preserve">All three models were trained on X_train and evaluated on X_test. A shared evaluate_model() function computed accuracy, a full per-class classification report, and a confusion matrix heatmap for each model.</w:t>
      </w:r>
    </w:p>
    <w:p>
      <w:pPr>
        <w:spacing w:after="0" w:before="0" w:line="240" w:lineRule="auto"/>
      </w:pPr>
    </w:p>
    <w:p>
      <w:pPr>
        <w:spacing w:after="120" w:before="0" w:line="240" w:lineRule="auto"/>
        <w:jc w:val="both"/>
      </w:pPr>
      <w:r>
        <w:rPr>
          <w:rFonts w:ascii="Times New Roman" w:cs="Times New Roman" w:eastAsia="Times New Roman" w:hAnsi="Times New Roman"/>
          <w:sz w:val="22"/>
          <w:szCs w:val="22"/>
        </w:rPr>
        <w:t xml:space="preserve">The results across the three models are summarized below:</w:t>
      </w:r>
    </w:p>
    <w:p>
      <w:pPr>
        <w:spacing w:after="0" w:before="0" w:line="240" w:lineRule="auto"/>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144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44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144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Macro Precision</w:t>
            </w:r>
          </w:p>
        </w:tc>
        <w:tc>
          <w:tcPr>
            <w:tcW w:type="dxa" w:w="144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Macro Recall</w:t>
            </w:r>
          </w:p>
        </w:tc>
        <w:tc>
          <w:tcPr>
            <w:tcW w:type="dxa" w:w="144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Macro F1</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Logistic Regression</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97.23%</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r>
      <w:tr>
        <w:tc>
          <w:tcPr>
            <w:tcW w:type="dxa" w:w="26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KNN (k=15, 5-fold CV)</w:t>
            </w:r>
          </w:p>
        </w:tc>
        <w:tc>
          <w:tcPr>
            <w:tcW w:type="dxa" w:w="14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97.23%</w:t>
            </w:r>
          </w:p>
        </w:tc>
        <w:tc>
          <w:tcPr>
            <w:tcW w:type="dxa" w:w="14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c>
          <w:tcPr>
            <w:tcW w:type="dxa" w:w="14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c>
          <w:tcPr>
            <w:tcW w:type="dxa" w:w="14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Random Forest (100 trees)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96.90%</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0.97</w:t>
            </w:r>
          </w:p>
        </w:tc>
      </w:tr>
    </w:tbl>
    <w:p>
      <w:pPr>
        <w:spacing w:after="0" w:before="0" w:line="240" w:lineRule="auto"/>
      </w:pPr>
    </w:p>
    <w:p>
      <w:pPr>
        <w:spacing w:after="120" w:before="0" w:line="240" w:lineRule="auto"/>
        <w:jc w:val="center"/>
      </w:pPr>
      <w:r>
        <w:rPr>
          <w:rFonts w:ascii="Times New Roman" w:cs="Times New Roman" w:eastAsia="Times New Roman" w:hAnsi="Times New Roman"/>
          <w:i/>
          <w:iCs/>
          <w:sz w:val="20"/>
          <w:szCs w:val="20"/>
        </w:rPr>
        <w:t xml:space="preserve">Table 1. Supervised model performance on the 3,646-sample test set (top 15 diseases, 101 features).</w:t>
      </w:r>
    </w:p>
    <w:p>
      <w:pPr>
        <w:spacing w:after="0" w:before="0" w:line="240" w:lineRule="auto"/>
      </w:pPr>
    </w:p>
    <w:p>
      <w:pPr>
        <w:spacing w:after="120" w:before="0" w:line="240" w:lineRule="auto"/>
        <w:jc w:val="both"/>
      </w:pPr>
      <w:r>
        <w:rPr>
          <w:rFonts w:ascii="Times New Roman" w:cs="Times New Roman" w:eastAsia="Times New Roman" w:hAnsi="Times New Roman"/>
          <w:sz w:val="22"/>
          <w:szCs w:val="22"/>
        </w:rPr>
        <w:t xml:space="preserve">Logistic Regression and KNN tied at 97.23% accuracy with identical macro-averaged metrics. Random Forest scored slightly lower at 96.90% but similarly strong across all classes. The three classes that showed the most misclassification across all models were acute bronchitis, pneumonia, and complex regional pain syndrome — conditions that share overlapping respiratory and pain-related symptom profiles.</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Confusion Matrix — Logistic Regression.  </w:t>
      </w:r>
      <w:r>
        <w:rPr>
          <w:rFonts w:ascii="Times New Roman" w:cs="Times New Roman" w:eastAsia="Times New Roman" w:hAnsi="Times New Roman"/>
          <w:sz w:val="22"/>
          <w:szCs w:val="22"/>
        </w:rPr>
        <w:t xml:space="preserve">The matrix confirms near-perfect diagonal performance. The most notable off-diagonal errors are: acute bronchitis misclassified as pneumonia (14 cases) and pneumonia misclassified as acute bronchitis (19 cases), reflecting the symptom overlap between these two respiratory diseases. Complex regional pain syndrome confuses with peripheral nerve disorder (7 cases in each direction).</w:t>
      </w:r>
    </w:p>
    <w:p>
      <w:pPr>
        <w:spacing w:after="0" w:before="0" w:line="240" w:lineRule="auto"/>
      </w:pPr>
    </w:p>
    <w:p>
      <w:pPr>
        <w:spacing w:after="120" w:before="0" w:line="240" w:lineRule="auto"/>
        <w:jc w:val="center"/>
      </w:pPr>
      <w:r>
        <w:drawing>
          <wp:inline distT="0" distB="0" distL="0" distR="0">
            <wp:extent cx="4762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095750"/>
                    </a:xfrm>
                    <a:prstGeom prst="rect">
                      <a:avLst/>
                    </a:prstGeom>
                  </pic:spPr>
                </pic:pic>
              </a:graphicData>
            </a:graphic>
          </wp:inline>
        </w:drawing>
      </w:r>
    </w:p>
    <w:p>
      <w:pPr>
        <w:spacing w:after="120" w:before="0" w:line="240" w:lineRule="auto"/>
        <w:jc w:val="center"/>
      </w:pPr>
      <w:r>
        <w:rPr>
          <w:rFonts w:ascii="Times New Roman" w:cs="Times New Roman" w:eastAsia="Times New Roman" w:hAnsi="Times New Roman"/>
          <w:i/>
          <w:iCs/>
          <w:sz w:val="20"/>
          <w:szCs w:val="20"/>
        </w:rPr>
        <w:t xml:space="preserve">Figure 1. Confusion Matrix — Logistic Regression (Accuracy: 97.23%). The main off-diagonal errors occur between acute bronchitis and pneumonia.</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Confusion Matrix — KNN (k=15).  </w:t>
      </w:r>
      <w:r>
        <w:rPr>
          <w:rFonts w:ascii="Times New Roman" w:cs="Times New Roman" w:eastAsia="Times New Roman" w:hAnsi="Times New Roman"/>
          <w:sz w:val="22"/>
          <w:szCs w:val="22"/>
        </w:rPr>
        <w:t xml:space="preserve">KNN shows a nearly identical error pattern. Acute bronchitis vs. pneumonia confusion persists (12 and 24 misclassifications respectively). Peripheral nerve disorder confuses with complex regional pain syndrome (13 cases), consistent with Logistic Regression. The best k was selected via 5-fold cross-validation from {3, 5, 7, 9, 11, 13, 15}.</w:t>
      </w:r>
    </w:p>
    <w:p>
      <w:pPr>
        <w:spacing w:after="0" w:before="0" w:line="240" w:lineRule="auto"/>
      </w:pPr>
    </w:p>
    <w:p>
      <w:pPr>
        <w:spacing w:after="120" w:before="0" w:line="240" w:lineRule="auto"/>
        <w:jc w:val="center"/>
      </w:pPr>
      <w:r>
        <w:drawing>
          <wp:inline distT="0" distB="0" distL="0" distR="0">
            <wp:extent cx="4762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95750"/>
                    </a:xfrm>
                    <a:prstGeom prst="rect">
                      <a:avLst/>
                    </a:prstGeom>
                  </pic:spPr>
                </pic:pic>
              </a:graphicData>
            </a:graphic>
          </wp:inline>
        </w:drawing>
      </w:r>
    </w:p>
    <w:p>
      <w:pPr>
        <w:spacing w:after="120" w:before="0" w:line="240" w:lineRule="auto"/>
        <w:jc w:val="center"/>
      </w:pPr>
      <w:r>
        <w:rPr>
          <w:rFonts w:ascii="Times New Roman" w:cs="Times New Roman" w:eastAsia="Times New Roman" w:hAnsi="Times New Roman"/>
          <w:i/>
          <w:iCs/>
          <w:sz w:val="20"/>
          <w:szCs w:val="20"/>
        </w:rPr>
        <w:t xml:space="preserve">Figure 2. Confusion Matrix — KNN (k=15, Accuracy: 97.23%). Confusion between respiratory conditions and nerve-related pain disorders mirrors Logistic Regression.</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Confusion Matrix — Random Forest.  </w:t>
      </w:r>
      <w:r>
        <w:rPr>
          <w:rFonts w:ascii="Times New Roman" w:cs="Times New Roman" w:eastAsia="Times New Roman" w:hAnsi="Times New Roman"/>
          <w:sz w:val="22"/>
          <w:szCs w:val="22"/>
        </w:rPr>
        <w:t xml:space="preserve">Random Forest shows the same systemic confusion patterns, with slightly higher misclassification counts for acute bronchitis (16 misclassified as pneumonia) and complex regional pain syndrome (10 misclassified as peripheral nerve disorder). The minor accuracy gap relative to Logistic Regression and KNN can be attributed to this model’s increased sensitivity to these overlapping symptom clusters.</w:t>
      </w:r>
    </w:p>
    <w:p>
      <w:pPr>
        <w:spacing w:after="0" w:before="0" w:line="240" w:lineRule="auto"/>
      </w:pPr>
    </w:p>
    <w:p>
      <w:pPr>
        <w:spacing w:after="120" w:before="0" w:line="240" w:lineRule="auto"/>
        <w:jc w:val="center"/>
      </w:pPr>
      <w:r>
        <w:drawing>
          <wp:inline distT="0" distB="0" distL="0" distR="0">
            <wp:extent cx="4762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95750"/>
                    </a:xfrm>
                    <a:prstGeom prst="rect">
                      <a:avLst/>
                    </a:prstGeom>
                  </pic:spPr>
                </pic:pic>
              </a:graphicData>
            </a:graphic>
          </wp:inline>
        </w:drawing>
      </w:r>
    </w:p>
    <w:p>
      <w:pPr>
        <w:spacing w:after="120" w:before="0" w:line="240" w:lineRule="auto"/>
        <w:jc w:val="center"/>
      </w:pPr>
      <w:r>
        <w:rPr>
          <w:rFonts w:ascii="Times New Roman" w:cs="Times New Roman" w:eastAsia="Times New Roman" w:hAnsi="Times New Roman"/>
          <w:i/>
          <w:iCs/>
          <w:sz w:val="20"/>
          <w:szCs w:val="20"/>
        </w:rPr>
        <w:t xml:space="preserve">Figure 3. Confusion Matrix — Random Forest (Accuracy: 96.90%). Slightly more dispersion in respiratory and neurological disease classes compared to the other two models.</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Unsupervised Learning — K-Means and Agglomerative Clustering.  </w:t>
      </w:r>
      <w:r>
        <w:rPr>
          <w:rFonts w:ascii="Times New Roman" w:cs="Times New Roman" w:eastAsia="Times New Roman" w:hAnsi="Times New Roman"/>
          <w:sz w:val="22"/>
          <w:szCs w:val="22"/>
        </w:rPr>
        <w:t xml:space="preserve">I applied PCA (30 components) to the 101-feature cleaned and scaled matrix before clustering, reducing noise in distance computations. Both K-Means (k=15, n_init=10, random_state=42) and Agglomerative Clustering (k=15, ward linkage) were then applied to the PCA-reduced data. Normalized Mutual Information (NMI) was used to measure how well the discovered clusters align with the true disease labels.</w:t>
      </w:r>
    </w:p>
    <w:p>
      <w:pPr>
        <w:spacing w:after="0" w:before="0" w:line="240" w:lineRule="auto"/>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7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120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NMI Score</w:t>
            </w:r>
          </w:p>
        </w:tc>
        <w:tc>
          <w:tcPr>
            <w:tcW w:type="dxa" w:w="47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Interpretation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K-Means (k=15)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0.9632</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Clusters strongly recover disease groupings. Only minor overlap between closely related diseases.</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Agglomerative (k=15)</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0.9316</w:t>
            </w:r>
          </w:p>
        </w:tc>
        <w:tc>
          <w:tcPr>
            <w:tcW w:type="dxa" w:w="47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Times New Roman" w:cs="Times New Roman" w:eastAsia="Times New Roman" w:hAnsi="Times New Roman"/>
                <w:sz w:val="20"/>
                <w:szCs w:val="20"/>
              </w:rPr>
              <w:t xml:space="preserve">Slightly lower but still excellent alignment. Some merging of symptom-similar diseases into single clusters.</w:t>
            </w:r>
          </w:p>
        </w:tc>
      </w:tr>
    </w:tbl>
    <w:p>
      <w:pPr>
        <w:spacing w:after="0" w:before="0" w:line="240" w:lineRule="auto"/>
      </w:pPr>
    </w:p>
    <w:p>
      <w:pPr>
        <w:spacing w:after="120" w:before="0" w:line="240" w:lineRule="auto"/>
        <w:jc w:val="center"/>
      </w:pPr>
      <w:r>
        <w:rPr>
          <w:rFonts w:ascii="Times New Roman" w:cs="Times New Roman" w:eastAsia="Times New Roman" w:hAnsi="Times New Roman"/>
          <w:i/>
          <w:iCs/>
          <w:sz w:val="20"/>
          <w:szCs w:val="20"/>
        </w:rPr>
        <w:t xml:space="preserve">Table 2. Unsupervised clustering results. NMI ranges from 0 (no alignment) to 1 (perfect alignment with true labels).</w:t>
      </w:r>
    </w:p>
    <w:p>
      <w:pPr>
        <w:spacing w:after="0" w:before="0" w:line="240" w:lineRule="auto"/>
      </w:pPr>
    </w:p>
    <w:p>
      <w:pPr>
        <w:spacing w:after="120" w:before="0" w:line="240" w:lineRule="auto"/>
        <w:jc w:val="both"/>
      </w:pPr>
      <w:r>
        <w:rPr>
          <w:rFonts w:ascii="Times New Roman" w:cs="Times New Roman" w:eastAsia="Times New Roman" w:hAnsi="Times New Roman"/>
          <w:sz w:val="22"/>
          <w:szCs w:val="22"/>
        </w:rPr>
        <w:t xml:space="preserve">Both NMI scores are exceptionally high, indicating that the 101 symptom features carry enough discriminative structure for the algorithm to largely recover true disease groupings without access to the labels. K-Means outperformed Agglomerative Clustering by 0.0316 NMI points.</w:t>
      </w:r>
    </w:p>
    <w:p>
      <w:pPr>
        <w:spacing w:after="0" w:before="0" w:line="240" w:lineRule="auto"/>
      </w:pPr>
    </w:p>
    <w:p>
      <w:pPr>
        <w:spacing w:after="120" w:before="0" w:line="240" w:lineRule="auto"/>
        <w:jc w:val="both"/>
      </w:pPr>
      <w:r>
        <w:rPr>
          <w:rFonts w:ascii="Times New Roman" w:cs="Times New Roman" w:eastAsia="Times New Roman" w:hAnsi="Times New Roman"/>
          <w:b/>
          <w:bCs/>
          <w:sz w:val="22"/>
          <w:szCs w:val="22"/>
        </w:rPr>
        <w:t xml:space="preserve">PCA 2D Visualization.  </w:t>
      </w:r>
      <w:r>
        <w:rPr>
          <w:rFonts w:ascii="Times New Roman" w:cs="Times New Roman" w:eastAsia="Times New Roman" w:hAnsi="Times New Roman"/>
          <w:sz w:val="22"/>
          <w:szCs w:val="22"/>
        </w:rPr>
        <w:t xml:space="preserve">A separate 2D PCA projection was used to visualize the cluster assignments alongside the true labels. The three-panel figure below confirms the high NMI scores: K-Means clusters closely match the true disease label layout, while Agglomerative Clustering shows slightly more color mixing in the high-overlap central region of the feature space.</w:t>
      </w:r>
    </w:p>
    <w:p>
      <w:pPr>
        <w:spacing w:after="0" w:before="0" w:line="240" w:lineRule="auto"/>
      </w:pPr>
    </w:p>
    <w:p>
      <w:pPr>
        <w:spacing w:after="120" w:before="0" w:line="240" w:lineRule="auto"/>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05000"/>
                    </a:xfrm>
                    <a:prstGeom prst="rect">
                      <a:avLst/>
                    </a:prstGeom>
                  </pic:spPr>
                </pic:pic>
              </a:graphicData>
            </a:graphic>
          </wp:inline>
        </w:drawing>
      </w:r>
    </w:p>
    <w:p>
      <w:pPr>
        <w:spacing w:after="120" w:before="0" w:line="240" w:lineRule="auto"/>
        <w:jc w:val="center"/>
      </w:pPr>
      <w:r>
        <w:rPr>
          <w:rFonts w:ascii="Times New Roman" w:cs="Times New Roman" w:eastAsia="Times New Roman" w:hAnsi="Times New Roman"/>
          <w:i/>
          <w:iCs/>
          <w:sz w:val="20"/>
          <w:szCs w:val="20"/>
        </w:rPr>
        <w:t xml:space="preserve">Figure 4. PCA 2D visualization (left: true disease labels, center: K-Means clusters NMI=0.96, right: Agglomerative clusters NMI=0.93). The radiating spoke structure confirms distinct symptom profiles per disease class.</w:t>
      </w:r>
    </w:p>
    <w:p>
      <w:pPr>
        <w:spacing w:after="0" w:before="0" w:line="240" w:lineRule="auto"/>
      </w:pPr>
    </w:p>
    <w:p>
      <w:pPr>
        <w:spacing w:after="80" w:before="200" w:line="240" w:lineRule="auto"/>
      </w:pPr>
      <w:r>
        <w:rPr>
          <w:rFonts w:ascii="Times New Roman" w:cs="Times New Roman" w:eastAsia="Times New Roman" w:hAnsi="Times New Roman"/>
          <w:b/>
          <w:bCs/>
          <w:sz w:val="22"/>
          <w:szCs w:val="22"/>
          <w:u w:val="single"/>
        </w:rPr>
        <w:t xml:space="preserve">II. What Has Not Been Done</w:t>
      </w:r>
    </w:p>
    <w:p>
      <w:pPr>
        <w:spacing w:after="120" w:before="0" w:line="240" w:lineRule="auto"/>
        <w:jc w:val="both"/>
      </w:pPr>
      <w:r>
        <w:rPr>
          <w:rFonts w:ascii="Times New Roman" w:cs="Times New Roman" w:eastAsia="Times New Roman" w:hAnsi="Times New Roman"/>
          <w:sz w:val="22"/>
          <w:szCs w:val="22"/>
        </w:rPr>
        <w:t xml:space="preserve">The following items remain for the final report phase:</w:t>
      </w:r>
    </w:p>
    <w:p>
      <w:pPr>
        <w:spacing w:after="0" w:before="0" w:line="240" w:lineRule="auto"/>
      </w:pPr>
    </w:p>
    <w:p>
      <w:pPr>
        <w:pStyle w:val="ListParagraph"/>
        <w:numPr>
          <w:ilvl w:val="0"/>
          <w:numId w:val="2"/>
        </w:numPr>
        <w:spacing w:after="0" w:before="0" w:line="240" w:lineRule="auto"/>
      </w:pPr>
      <w:r>
        <w:rPr>
          <w:rFonts w:ascii="Times New Roman" w:cs="Times New Roman" w:eastAsia="Times New Roman" w:hAnsi="Times New Roman"/>
          <w:sz w:val="22"/>
          <w:szCs w:val="22"/>
        </w:rPr>
        <w:t xml:space="preserve">The formal comparative analysis section has not been written. A side-by-side discussion of all five models (supervised and unsupervised) with a clear recommendation will be completed for the final report.</w:t>
      </w:r>
    </w:p>
    <w:p>
      <w:pPr>
        <w:spacing w:after="0" w:before="0" w:line="240" w:lineRule="auto"/>
      </w:pPr>
    </w:p>
    <w:p>
      <w:pPr>
        <w:pStyle w:val="ListParagraph"/>
        <w:numPr>
          <w:ilvl w:val="0"/>
          <w:numId w:val="2"/>
        </w:numPr>
        <w:spacing w:after="0" w:before="0" w:line="240" w:lineRule="auto"/>
      </w:pPr>
      <w:r>
        <w:rPr>
          <w:rFonts w:ascii="Times New Roman" w:cs="Times New Roman" w:eastAsia="Times New Roman" w:hAnsi="Times New Roman"/>
          <w:sz w:val="22"/>
          <w:szCs w:val="22"/>
        </w:rPr>
        <w:t xml:space="preserve">No feature importance analysis has been conducted yet. Extracting and visualizing the top predictive symptoms from Random Forest is planned for the final report.</w:t>
      </w:r>
    </w:p>
    <w:p>
      <w:pPr>
        <w:spacing w:after="0" w:before="0" w:line="240" w:lineRule="auto"/>
      </w:pPr>
    </w:p>
    <w:p>
      <w:pPr>
        <w:pStyle w:val="ListParagraph"/>
        <w:numPr>
          <w:ilvl w:val="0"/>
          <w:numId w:val="2"/>
        </w:numPr>
        <w:spacing w:after="0" w:before="0" w:line="240" w:lineRule="auto"/>
      </w:pPr>
      <w:r>
        <w:rPr>
          <w:rFonts w:ascii="Times New Roman" w:cs="Times New Roman" w:eastAsia="Times New Roman" w:hAnsi="Times New Roman"/>
          <w:sz w:val="22"/>
          <w:szCs w:val="22"/>
        </w:rPr>
        <w:t xml:space="preserve">The written final report document has not been started. This will consolidate all findings into a single structured paper following the format specified in the assignment.</w:t>
      </w:r>
    </w:p>
    <w:p>
      <w:pPr>
        <w:spacing w:after="0" w:before="0" w:line="240" w:lineRule="auto"/>
      </w:pPr>
    </w:p>
    <w:p>
      <w:pPr>
        <w:spacing w:after="80" w:before="200" w:line="240" w:lineRule="auto"/>
      </w:pPr>
      <w:r>
        <w:rPr>
          <w:rFonts w:ascii="Times New Roman" w:cs="Times New Roman" w:eastAsia="Times New Roman" w:hAnsi="Times New Roman"/>
          <w:b/>
          <w:bCs/>
          <w:sz w:val="22"/>
          <w:szCs w:val="22"/>
          <w:u w:val="single"/>
        </w:rPr>
        <w:t xml:space="preserve">III. What Will Be Done Before the Final Report (April 27, 2026)</w:t>
      </w:r>
    </w:p>
    <w:p>
      <w:pPr>
        <w:spacing w:after="120" w:before="0" w:line="240" w:lineRule="auto"/>
        <w:jc w:val="both"/>
      </w:pPr>
      <w:r>
        <w:rPr>
          <w:rFonts w:ascii="Times New Roman" w:cs="Times New Roman" w:eastAsia="Times New Roman" w:hAnsi="Times New Roman"/>
          <w:sz w:val="22"/>
          <w:szCs w:val="22"/>
        </w:rPr>
        <w:t xml:space="preserve">The remaining work to complete before the final report deadline:</w:t>
      </w:r>
    </w:p>
    <w:p>
      <w:pPr>
        <w:spacing w:after="0" w:before="0" w:line="240" w:lineRule="auto"/>
      </w:pPr>
    </w:p>
    <w:p>
      <w:pPr>
        <w:pStyle w:val="ListParagraph"/>
        <w:numPr>
          <w:ilvl w:val="0"/>
          <w:numId w:val="2"/>
        </w:numPr>
        <w:spacing w:after="0" w:before="0" w:line="240" w:lineRule="auto"/>
      </w:pPr>
      <w:r>
        <w:rPr>
          <w:rFonts w:ascii="Times New Roman" w:cs="Times New Roman" w:eastAsia="Times New Roman" w:hAnsi="Times New Roman"/>
          <w:b/>
          <w:bCs/>
          <w:sz w:val="22"/>
          <w:szCs w:val="22"/>
        </w:rPr>
        <w:t xml:space="preserve">Write the full comparative analysis section</w:t>
      </w:r>
      <w:r>
        <w:rPr>
          <w:rFonts w:ascii="Times New Roman" w:cs="Times New Roman" w:eastAsia="Times New Roman" w:hAnsi="Times New Roman"/>
          <w:sz w:val="22"/>
          <w:szCs w:val="22"/>
        </w:rPr>
        <w:t xml:space="preserve"> — comparing all three supervised models and both clustering methods, identifying consistent failure cases, and recommending Logistic Regression as the best-performing model.</w:t>
      </w:r>
    </w:p>
    <w:p>
      <w:pPr>
        <w:spacing w:after="0" w:before="0" w:line="240" w:lineRule="auto"/>
      </w:pPr>
    </w:p>
    <w:p>
      <w:pPr>
        <w:pStyle w:val="ListParagraph"/>
        <w:numPr>
          <w:ilvl w:val="0"/>
          <w:numId w:val="2"/>
        </w:numPr>
        <w:spacing w:after="0" w:before="0" w:line="240" w:lineRule="auto"/>
      </w:pPr>
      <w:r>
        <w:rPr>
          <w:rFonts w:ascii="Times New Roman" w:cs="Times New Roman" w:eastAsia="Times New Roman" w:hAnsi="Times New Roman"/>
          <w:b/>
          <w:bCs/>
          <w:sz w:val="22"/>
          <w:szCs w:val="22"/>
        </w:rPr>
        <w:t xml:space="preserve">Conduct feature importance analysis</w:t>
      </w:r>
      <w:r>
        <w:rPr>
          <w:rFonts w:ascii="Times New Roman" w:cs="Times New Roman" w:eastAsia="Times New Roman" w:hAnsi="Times New Roman"/>
          <w:sz w:val="22"/>
          <w:szCs w:val="22"/>
        </w:rPr>
        <w:t xml:space="preserve"> using Random Forest’s feature_importances_ attribute to identify the 10–15 most predictive symptoms and visualize them in a ranked bar chart.</w:t>
      </w:r>
    </w:p>
    <w:p>
      <w:pPr>
        <w:spacing w:after="0" w:before="0" w:line="240" w:lineRule="auto"/>
      </w:pPr>
    </w:p>
    <w:p>
      <w:pPr>
        <w:pStyle w:val="ListParagraph"/>
        <w:numPr>
          <w:ilvl w:val="0"/>
          <w:numId w:val="2"/>
        </w:numPr>
        <w:spacing w:after="0" w:before="0" w:line="240" w:lineRule="auto"/>
      </w:pPr>
      <w:r>
        <w:rPr>
          <w:rFonts w:ascii="Times New Roman" w:cs="Times New Roman" w:eastAsia="Times New Roman" w:hAnsi="Times New Roman"/>
          <w:b/>
          <w:bCs/>
          <w:sz w:val="22"/>
          <w:szCs w:val="22"/>
        </w:rPr>
        <w:t xml:space="preserve">Write and submit the final report</w:t>
      </w:r>
      <w:r>
        <w:rPr>
          <w:rFonts w:ascii="Times New Roman" w:cs="Times New Roman" w:eastAsia="Times New Roman" w:hAnsi="Times New Roman"/>
          <w:sz w:val="22"/>
          <w:szCs w:val="22"/>
        </w:rPr>
        <w:t xml:space="preserve"> incorporating all EDA visualizations, model results, confusion matrices, clustering plots, and the comparative discussion in a complete academic format.</w:t>
      </w:r>
    </w:p>
    <w:p>
      <w:pPr>
        <w:spacing w:after="0" w:before="0" w:line="240" w:lineRule="auto"/>
      </w:pPr>
    </w:p>
    <w:p>
      <w:pPr>
        <w:spacing w:after="80" w:before="200" w:line="240" w:lineRule="auto"/>
      </w:pPr>
      <w:r>
        <w:rPr>
          <w:rFonts w:ascii="Times New Roman" w:cs="Times New Roman" w:eastAsia="Times New Roman" w:hAnsi="Times New Roman"/>
          <w:b/>
          <w:bCs/>
          <w:sz w:val="22"/>
          <w:szCs w:val="22"/>
          <w:u w:val="single"/>
        </w:rPr>
        <w:t xml:space="preserve">IV. Challenges and Notes</w:t>
      </w:r>
    </w:p>
    <w:p>
      <w:pPr>
        <w:spacing w:after="120" w:before="0" w:line="240" w:lineRule="auto"/>
        <w:jc w:val="both"/>
      </w:pPr>
      <w:r>
        <w:rPr>
          <w:rFonts w:ascii="Times New Roman" w:cs="Times New Roman" w:eastAsia="Times New Roman" w:hAnsi="Times New Roman"/>
          <w:sz w:val="22"/>
          <w:szCs w:val="22"/>
        </w:rPr>
        <w:t xml:space="preserve">The most consistent challenge across all three supervised models is the confusion between acute bronchitis and pneumonia, and between complex regional pain syndrome and peripheral nerve disorder. These pairs share symptom profiles by clinical nature, and this pattern appeared in every model’s confusion matrix. This is not a modeling failure but a genuine ambiguity in the data that would likely persist even with more complex architectures.</w:t>
      </w:r>
    </w:p>
    <w:p>
      <w:pPr>
        <w:spacing w:after="0" w:before="0" w:line="240" w:lineRule="auto"/>
      </w:pPr>
    </w:p>
    <w:p>
      <w:pPr>
        <w:spacing w:after="120" w:before="0" w:line="240" w:lineRule="auto"/>
        <w:jc w:val="both"/>
      </w:pPr>
      <w:r>
        <w:rPr>
          <w:rFonts w:ascii="Times New Roman" w:cs="Times New Roman" w:eastAsia="Times New Roman" w:hAnsi="Times New Roman"/>
          <w:sz w:val="22"/>
          <w:szCs w:val="22"/>
        </w:rPr>
        <w:t xml:space="preserve">The unsupervised results were stronger than expected. NMI scores of 0.96 (K-Means) and 0.93 (Agglomerative) indicate that the symptom features are sufficiently discriminative for clustering to nearly replicate supervised label assignments without any label information. This supports the quality of the dataset and the value of the EDA-driven feature selection (dropping 276 zero-variance features) as a preprocessing step.</w:t>
      </w:r>
    </w:p>
    <w:p>
      <w:pPr>
        <w:spacing w:after="0" w:before="0" w:line="240" w:lineRule="auto"/>
      </w:pPr>
    </w:p>
    <w:p>
      <w:pPr>
        <w:spacing w:after="120" w:before="0" w:line="240" w:lineRule="auto"/>
        <w:jc w:val="both"/>
      </w:pPr>
      <w:r>
        <w:rPr>
          <w:rFonts w:ascii="Times New Roman" w:cs="Times New Roman" w:eastAsia="Times New Roman" w:hAnsi="Times New Roman"/>
          <w:sz w:val="22"/>
          <w:szCs w:val="22"/>
        </w:rPr>
        <w:t xml:space="preserve">The project is on schedule and all modeling work is complete ahead of the final report deadline.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0" w:before="0" w:line="24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335cf381dd9d54f2f47a372b0f8991dd76d0e2.png"/><Relationship Id="rId8" Type="http://schemas.openxmlformats.org/officeDocument/2006/relationships/image" Target="media/8281970e2c09fe4f7a6cb7fc875219c51f6985a0.png"/><Relationship Id="rId9" Type="http://schemas.openxmlformats.org/officeDocument/2006/relationships/image" Target="media/c0150d97bda76c023d65032b73b1c1f08575a60d.png"/><Relationship Id="rId10" Type="http://schemas.openxmlformats.org/officeDocument/2006/relationships/image" Target="media/5fab3ba7f4ba245d0cb3c97baa04e2e1208431c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2026-04-14T06:15:53.107Z</dcterms:created>
  <dcterms:modified xsi:type="dcterms:W3CDTF">2026-04-14T06:15:53.107Z</dcterms:modified>
</cp:coreProperties>
</file>

<file path=docProps/custom.xml><?xml version="1.0" encoding="utf-8"?>
<Properties xmlns="http://schemas.openxmlformats.org/officeDocument/2006/custom-properties" xmlns:vt="http://schemas.openxmlformats.org/officeDocument/2006/docPropsVTypes"/>
</file>