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120"/>
        <w:jc w:val="center"/>
      </w:pPr>
      <w:r>
        <w:rPr>
          <w:rFonts w:ascii="Times New Roman" w:cs="Times New Roman" w:eastAsia="Times New Roman" w:hAnsi="Times New Roman"/>
          <w:sz w:val="22"/>
          <w:szCs w:val="22"/>
        </w:rPr>
        <w:t xml:space="preserve">Disease Prediction from Symptom Profiles:</w:t>
      </w:r>
    </w:p>
    <w:p>
      <w:pPr>
        <w:spacing w:line="240" w:lineRule="auto" w:before="0" w:after="120"/>
        <w:jc w:val="center"/>
      </w:pPr>
      <w:r>
        <w:rPr>
          <w:rFonts w:ascii="Times New Roman" w:cs="Times New Roman" w:eastAsia="Times New Roman" w:hAnsi="Times New Roman"/>
          <w:sz w:val="22"/>
          <w:szCs w:val="22"/>
        </w:rPr>
        <w:t xml:space="preserve">A Comparative Study of Supervised and Unsupervised Machine Learning</w:t>
      </w:r>
    </w:p>
    <w:p>
      <w:pPr>
        <w:spacing w:line="240" w:lineRule="auto" w:before="0" w:after="0"/>
      </w:pPr>
    </w:p>
    <w:p>
      <w:pPr>
        <w:spacing w:line="240" w:lineRule="auto" w:before="0" w:after="120"/>
        <w:jc w:val="center"/>
      </w:pPr>
      <w:r>
        <w:rPr>
          <w:rFonts w:ascii="Times New Roman" w:cs="Times New Roman" w:eastAsia="Times New Roman" w:hAnsi="Times New Roman"/>
          <w:sz w:val="22"/>
          <w:szCs w:val="22"/>
        </w:rPr>
        <w:t xml:space="preserve">Matthew Setiadi</w:t>
      </w:r>
    </w:p>
    <w:p>
      <w:pPr>
        <w:spacing w:line="240" w:lineRule="auto" w:before="0" w:after="120"/>
        <w:jc w:val="center"/>
      </w:pPr>
      <w:r>
        <w:rPr>
          <w:rFonts w:ascii="Times New Roman" w:cs="Times New Roman" w:eastAsia="Times New Roman" w:hAnsi="Times New Roman"/>
          <w:sz w:val="22"/>
          <w:szCs w:val="22"/>
        </w:rPr>
        <w:t xml:space="preserve">CIS 3715: Principles of Data Science  |  Dr. Hongchang Gao  |  Temple University</w:t>
      </w:r>
    </w:p>
    <w:p>
      <w:pPr>
        <w:spacing w:line="240" w:lineRule="auto" w:before="0" w:after="120"/>
        <w:jc w:val="center"/>
      </w:pPr>
      <w:r>
        <w:rPr>
          <w:rFonts w:ascii="Times New Roman" w:cs="Times New Roman" w:eastAsia="Times New Roman" w:hAnsi="Times New Roman"/>
          <w:sz w:val="22"/>
          <w:szCs w:val="22"/>
        </w:rPr>
        <w:t xml:space="preserve">March 27, 2026</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 Introduction</w:t>
      </w:r>
    </w:p>
    <w:p>
      <w:pPr>
        <w:spacing w:line="240" w:lineRule="auto" w:before="0" w:after="120"/>
        <w:jc w:val="both"/>
      </w:pPr>
      <w:r>
        <w:rPr>
          <w:rFonts w:ascii="Times New Roman" w:cs="Times New Roman" w:eastAsia="Times New Roman" w:hAnsi="Times New Roman"/>
          <w:sz w:val="22"/>
          <w:szCs w:val="22"/>
        </w:rPr>
        <w:t xml:space="preserve">Getting a timely and accurate medical diagnosis is still a real problem, especially in places with limited resources. Many healthcare systems rely heavily on doctors being available, and when they're not, people wait or worse, go without answers. Because of that, I see real value in building simple, early-stage tools that can help flag possible conditions based on symptoms.</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In this project, I aim to build and compare machine learning models that can predict likely diseases from patient symptoms. The idea is not to replace doctors, but to create something that can assist in early screening and decision-making. I'll be using a publicly available dataset from Kaggle containing symptom-disease mappings at scale.</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The core problem is a multi-class classification task: given a set of observed symptoms for a patient, identify which disease is most likely present. Beyond classification, the project extends into unsupervised learning by applying clustering algorithms to the same dataset — examining whether natural groupings emerge from symptom patterns without the use of disease labels. Comparing these two paradigms offers insight into both the structure of the data and the relative utility of label-driven versus discovery-driven approaches in a healthcare context.</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This project is personal to me. From 2009 to 2016, I helped coordinate community medical clinics in Indonesia, where limited physician access meant that many patients went without timely diagnoses. Building something that can even partially help identify potential illnesses from symptoms is not just a technical exercise for me — it's something I've wanted to do for a long time.</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II. Related Work</w:t>
      </w:r>
    </w:p>
    <w:p>
      <w:pPr>
        <w:spacing w:line="240" w:lineRule="auto" w:before="0" w:after="120"/>
        <w:jc w:val="both"/>
      </w:pPr>
      <w:r>
        <w:rPr>
          <w:rFonts w:ascii="Times New Roman" w:cs="Times New Roman" w:eastAsia="Times New Roman" w:hAnsi="Times New Roman"/>
          <w:sz w:val="22"/>
          <w:szCs w:val="22"/>
        </w:rPr>
        <w:t xml:space="preserve">A lot of past work has already explored using machine learning to predict diseases from patient data, and I'm building on those ideas rather than starting from scratch.</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One approach that stands out is K-Nearest Neighbors (KNN). Research like Guo et al. (2003) shows that KNN works well for medical datasets because it focuses on similarity — patients with similar symptoms are likely to have similar conditions. This makes sense, especially when the relationship between symptoms and diseases isn't perfectly linear.</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Another strong approach is ensemble methods, especially Random Forest, introduced by Breiman (2001). Instead of relying on a single model, Random Forest combines multiple decision trees, which helps handle complex relationships in the data and reduces overfitting. It also performs well when features are correlated, which is common in medical data where symptoms often appear together.</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On the unsupervised side, clustering methods like K-means and agglomerative clustering have been used to group patients without using disease labels. Work by Xu &amp; Wunsch (2005) shows that these methods can reveal hidden structures in the data, like patterns of symptom co-occurrence or natural groupings of patients.</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In this project, I'm bringing these ideas together. I'll use Logistic Regression as a simple and interpretable baseline, Random Forest as a stronger supervised model, and KNN as a comparison point. Then, I'll apply K-means and agglomerative clustering to see what patterns show up when the model isn't given any labels. The goal is not just performance, but understanding how these different approaches behave on the same problem.</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III. Proposed Work</w:t>
      </w:r>
    </w:p>
    <w:p>
      <w:pPr>
        <w:spacing w:line="240" w:lineRule="auto" w:before="0" w:after="120"/>
        <w:jc w:val="both"/>
      </w:pPr>
      <w:r>
        <w:rPr>
          <w:rFonts w:ascii="Times New Roman" w:cs="Times New Roman" w:eastAsia="Times New Roman" w:hAnsi="Times New Roman"/>
          <w:sz w:val="22"/>
          <w:szCs w:val="22"/>
        </w:rPr>
        <w:t xml:space="preserve">I'm structuring this project in four main stages: preprocessing the data, building supervised models, applying unsupervised methods, and then comparing the results.</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Dataset.  </w:t>
      </w:r>
      <w:r>
        <w:rPr>
          <w:rFonts w:ascii="Times New Roman" w:cs="Times New Roman" w:eastAsia="Times New Roman" w:hAnsi="Times New Roman"/>
          <w:sz w:val="22"/>
          <w:szCs w:val="22"/>
        </w:rPr>
        <w:t xml:space="preserve">I'll be using the Kaggle Disease-Symptom Dataset, which contains approximately 246,000 patient records with 377 binary symptom indicators (0/1) and 773 unique disease labels. Because the dataset is already one-hot encoded, the preprocessing phase focuses on feature selection and class management rather than heavy transformation. Given the large number of disease classes, I will subset the analysis to the top 15 most frequently occurring diseases to ensure sufficient samples per class for both supervised and unsupervised modeling. This scoping decision is standard practice in multi-class classification research and will be clearly documented in the final report.</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Preprocessing.  </w:t>
      </w:r>
      <w:r>
        <w:rPr>
          <w:rFonts w:ascii="Times New Roman" w:cs="Times New Roman" w:eastAsia="Times New Roman" w:hAnsi="Times New Roman"/>
          <w:sz w:val="22"/>
          <w:szCs w:val="22"/>
        </w:rPr>
        <w:t xml:space="preserve">Before building any models, I'll clean and prepare the data. This includes verifying there are no missing values, confirming all features are binary (no additional encoding needed), checking class balance across the selected 15 disease categories using bar plot visualization, and applying Min-Max normalization for distance-sensitive models such as KNN and clustering algorithms.</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Supervised Learning.  </w:t>
      </w:r>
      <w:r>
        <w:rPr>
          <w:rFonts w:ascii="Times New Roman" w:cs="Times New Roman" w:eastAsia="Times New Roman" w:hAnsi="Times New Roman"/>
          <w:sz w:val="22"/>
          <w:szCs w:val="22"/>
        </w:rPr>
        <w:t xml:space="preserve">I'll train three models: Logistic Regression, KNN, and Random Forest. Logistic Regression gives me a baseline that's easy to interpret. KNN captures similarity-based patterns, and Random Forest will likely give the strongest performance. I'll tune hyperparameters using cross-validation, especially for KNN. Evaluation will be done using accuracy, precision, recall, F1 score, and confusion matrices on an 80/20 train-test split.</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Unsupervised Learning.  </w:t>
      </w:r>
      <w:r>
        <w:rPr>
          <w:rFonts w:ascii="Times New Roman" w:cs="Times New Roman" w:eastAsia="Times New Roman" w:hAnsi="Times New Roman"/>
          <w:sz w:val="22"/>
          <w:szCs w:val="22"/>
        </w:rPr>
        <w:t xml:space="preserve">For the unsupervised part, I'll apply K-means and agglomerative clustering to the dataset without the disease labels. I'll set the number of clusters equal to 15 (the number of selected disease classes) so I can compare cluster assignments to ground truth. To evaluate how well the clusters match the actual diseases, I'll use Normalized Mutual Information (NMI). I'll also use PCA to reduce the data to two dimensions for visualization, so I can actually see how the clusters are formed.</w:t>
      </w:r>
    </w:p>
    <w:p>
      <w:pPr>
        <w:spacing w:line="240" w:lineRule="auto" w:before="0" w:after="0"/>
      </w:pPr>
    </w:p>
    <w:p>
      <w:pPr>
        <w:spacing w:line="240" w:lineRule="auto" w:before="0" w:after="120"/>
        <w:jc w:val="both"/>
      </w:pPr>
      <w:r>
        <w:rPr>
          <w:rFonts w:ascii="Times New Roman" w:cs="Times New Roman" w:eastAsia="Times New Roman" w:hAnsi="Times New Roman"/>
          <w:b/>
          <w:bCs/>
          <w:sz w:val="22"/>
          <w:szCs w:val="22"/>
        </w:rPr>
        <w:t xml:space="preserve">Comparative Analysis.  </w:t>
      </w:r>
      <w:r>
        <w:rPr>
          <w:rFonts w:ascii="Times New Roman" w:cs="Times New Roman" w:eastAsia="Times New Roman" w:hAnsi="Times New Roman"/>
          <w:sz w:val="22"/>
          <w:szCs w:val="22"/>
        </w:rPr>
        <w:t xml:space="preserve">In the final step, I'll compare everything. I want to see whether clustering methods can naturally recover disease groupings, and how close they get compared to supervised models. I'll also compare the supervised models themselves, looking at which one performs best and which one is easier to interpret. The results will be summarized using tables and visualizations.</w:t>
      </w:r>
    </w:p>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IV. Timeline</w:t>
      </w:r>
    </w:p>
    <w:p>
      <w:pPr>
        <w:spacing w:line="240" w:lineRule="auto"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EEEEE" w:val="clear"/>
            <w:tcMar>
              <w:top w:type="dxa" w:w="80"/>
              <w:left w:type="dxa" w:w="100"/>
              <w:bottom w:type="dxa" w:w="80"/>
              <w:right w:type="dxa" w:w="100"/>
            </w:tcMar>
          </w:tcPr>
          <w:p>
            <w:pPr>
              <w:spacing w:line="240" w:lineRule="auto" w:before="0" w:after="0"/>
            </w:pPr>
            <w:r>
              <w:rPr>
                <w:rFonts w:ascii="Times New Roman" w:cs="Times New Roman" w:eastAsia="Times New Roman" w:hAnsi="Times New Roman"/>
                <w:b/>
                <w:bCs/>
                <w:sz w:val="22"/>
                <w:szCs w:val="22"/>
              </w:rPr>
              <w:t xml:space="preserve">Milestone</w:t>
            </w:r>
          </w:p>
        </w:tc>
        <w:tc>
          <w:tcPr>
            <w:tcW w:type="dxa" w:w="3120"/>
            <w:tcBorders>
              <w:top w:val="single" w:color="999999" w:sz="1"/>
              <w:left w:val="single" w:color="999999" w:sz="1"/>
              <w:bottom w:val="single" w:color="999999" w:sz="1"/>
              <w:right w:val="single" w:color="999999" w:sz="1"/>
            </w:tcBorders>
            <w:shd w:fill="EEEEEE" w:val="clear"/>
            <w:tcMar>
              <w:top w:type="dxa" w:w="80"/>
              <w:left w:type="dxa" w:w="100"/>
              <w:bottom w:type="dxa" w:w="80"/>
              <w:right w:type="dxa" w:w="100"/>
            </w:tcMar>
          </w:tcPr>
          <w:p>
            <w:pPr>
              <w:spacing w:line="240" w:lineRule="auto" w:before="0" w:after="0"/>
            </w:pPr>
            <w:r>
              <w:rPr>
                <w:rFonts w:ascii="Times New Roman" w:cs="Times New Roman" w:eastAsia="Times New Roman" w:hAnsi="Times New Roman"/>
                <w:b/>
                <w:bCs/>
                <w:sz w:val="22"/>
                <w:szCs w:val="22"/>
              </w:rPr>
              <w:t xml:space="preserve">Description</w:t>
            </w:r>
          </w:p>
        </w:tc>
        <w:tc>
          <w:tcPr>
            <w:tcW w:type="dxa" w:w="3120"/>
            <w:tcBorders>
              <w:top w:val="single" w:color="999999" w:sz="1"/>
              <w:left w:val="single" w:color="999999" w:sz="1"/>
              <w:bottom w:val="single" w:color="999999" w:sz="1"/>
              <w:right w:val="single" w:color="999999" w:sz="1"/>
            </w:tcBorders>
            <w:shd w:fill="EEEEEE" w:val="clear"/>
            <w:tcMar>
              <w:top w:type="dxa" w:w="80"/>
              <w:left w:type="dxa" w:w="100"/>
              <w:bottom w:type="dxa" w:w="80"/>
              <w:right w:type="dxa" w:w="100"/>
            </w:tcMar>
          </w:tcPr>
          <w:p>
            <w:pPr>
              <w:spacing w:line="240" w:lineRule="auto" w:before="0" w:after="0"/>
            </w:pPr>
            <w:r>
              <w:rPr>
                <w:rFonts w:ascii="Times New Roman" w:cs="Times New Roman" w:eastAsia="Times New Roman" w:hAnsi="Times New Roman"/>
                <w:b/>
                <w:bCs/>
                <w:sz w:val="22"/>
                <w:szCs w:val="22"/>
              </w:rPr>
              <w:t xml:space="preserve">Due Date</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Proposal</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Topic, motivation, approach</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March 27, 2026</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Progress Report I</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Dataset loaded, EDA complete</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April 6, 2026</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Progress Report II</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Models trained, initial results</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April 13, 2026</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Lightning Talk</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Oral presentation of findings</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April 21–23, 2026</w:t>
            </w:r>
          </w:p>
        </w:tc>
      </w:tr>
      <w:tr>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Final Report</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Full written report submitted</w:t>
            </w:r>
          </w:p>
        </w:tc>
        <w:tc>
          <w:tcPr>
            <w:tcW w:type="dxa" w:w="3120"/>
            <w:tcBorders>
              <w:top w:val="single" w:color="999999" w:sz="1"/>
              <w:left w:val="single" w:color="999999" w:sz="1"/>
              <w:bottom w:val="single" w:color="999999" w:sz="1"/>
              <w:right w:val="single" w:color="999999" w:sz="1"/>
            </w:tcBorders>
            <w:tcMar>
              <w:top w:type="dxa" w:w="80"/>
              <w:left w:type="dxa" w:w="100"/>
              <w:bottom w:type="dxa" w:w="80"/>
              <w:right w:type="dxa" w:w="100"/>
            </w:tcMar>
          </w:tcPr>
          <w:p>
            <w:pPr>
              <w:spacing w:line="240" w:lineRule="auto" w:before="0" w:after="0"/>
            </w:pPr>
            <w:r>
              <w:rPr>
                <w:rFonts w:ascii="Times New Roman" w:cs="Times New Roman" w:eastAsia="Times New Roman" w:hAnsi="Times New Roman"/>
                <w:b w:val="false"/>
                <w:bCs w:val="false"/>
                <w:sz w:val="22"/>
                <w:szCs w:val="22"/>
              </w:rPr>
              <w:t xml:space="preserve">April 27, 2026</w:t>
            </w:r>
          </w:p>
        </w:tc>
      </w:tr>
    </w:tbl>
    <w:p>
      <w:pPr>
        <w:spacing w:line="240" w:lineRule="auto" w:before="0" w:after="0"/>
      </w:pPr>
    </w:p>
    <w:p>
      <w:pPr>
        <w:spacing w:line="240" w:lineRule="auto" w:before="180" w:after="80"/>
      </w:pPr>
      <w:r>
        <w:rPr>
          <w:rFonts w:ascii="Times New Roman" w:cs="Times New Roman" w:eastAsia="Times New Roman" w:hAnsi="Times New Roman"/>
          <w:b/>
          <w:bCs/>
          <w:sz w:val="22"/>
          <w:szCs w:val="22"/>
          <w:u w:val="single"/>
        </w:rPr>
        <w:t xml:space="preserve">V. References</w:t>
      </w:r>
    </w:p>
    <w:p>
      <w:pPr>
        <w:spacing w:line="240" w:lineRule="auto" w:before="0" w:after="120"/>
        <w:jc w:val="both"/>
      </w:pPr>
      <w:r>
        <w:rPr>
          <w:rFonts w:ascii="Times New Roman" w:cs="Times New Roman" w:eastAsia="Times New Roman" w:hAnsi="Times New Roman"/>
          <w:sz w:val="22"/>
          <w:szCs w:val="22"/>
        </w:rPr>
        <w:t xml:space="preserve">Breiman, L. (2001). Random forests. </w:t>
      </w:r>
      <w:r>
        <w:rPr>
          <w:rFonts w:ascii="Times New Roman" w:cs="Times New Roman" w:eastAsia="Times New Roman" w:hAnsi="Times New Roman"/>
          <w:i/>
          <w:iCs/>
          <w:sz w:val="22"/>
          <w:szCs w:val="22"/>
        </w:rPr>
        <w:t xml:space="preserve">Machine Learning, 45</w:t>
      </w:r>
      <w:r>
        <w:rPr>
          <w:rFonts w:ascii="Times New Roman" w:cs="Times New Roman" w:eastAsia="Times New Roman" w:hAnsi="Times New Roman"/>
          <w:sz w:val="22"/>
          <w:szCs w:val="22"/>
        </w:rPr>
        <w:t xml:space="preserve">(1), 5–32.</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Guo, G., Wang, H., Bell, D., Bi, Y., &amp; Greer, K. (2003). KNN model-based approach in classification. In </w:t>
      </w:r>
      <w:r>
        <w:rPr>
          <w:rFonts w:ascii="Times New Roman" w:cs="Times New Roman" w:eastAsia="Times New Roman" w:hAnsi="Times New Roman"/>
          <w:i/>
          <w:iCs/>
          <w:sz w:val="22"/>
          <w:szCs w:val="22"/>
        </w:rPr>
        <w:t xml:space="preserve">Proceedings of OTM Confederated International Conferences</w:t>
      </w:r>
      <w:r>
        <w:rPr>
          <w:rFonts w:ascii="Times New Roman" w:cs="Times New Roman" w:eastAsia="Times New Roman" w:hAnsi="Times New Roman"/>
          <w:sz w:val="22"/>
          <w:szCs w:val="22"/>
        </w:rPr>
        <w:t xml:space="preserve">.</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Xu, R., &amp; Wunsch, D. (2005). Survey of clustering algorithms. </w:t>
      </w:r>
      <w:r>
        <w:rPr>
          <w:rFonts w:ascii="Times New Roman" w:cs="Times New Roman" w:eastAsia="Times New Roman" w:hAnsi="Times New Roman"/>
          <w:i/>
          <w:iCs/>
          <w:sz w:val="22"/>
          <w:szCs w:val="22"/>
        </w:rPr>
        <w:t xml:space="preserve">IEEE Transactions on Neural Networks, 16</w:t>
      </w:r>
      <w:r>
        <w:rPr>
          <w:rFonts w:ascii="Times New Roman" w:cs="Times New Roman" w:eastAsia="Times New Roman" w:hAnsi="Times New Roman"/>
          <w:sz w:val="22"/>
          <w:szCs w:val="22"/>
        </w:rPr>
        <w:t xml:space="preserve">(3), 645–678.</w:t>
      </w:r>
    </w:p>
    <w:p>
      <w:pPr>
        <w:spacing w:line="240" w:lineRule="auto" w:before="0" w:after="0"/>
      </w:pPr>
    </w:p>
    <w:p>
      <w:pPr>
        <w:spacing w:line="240" w:lineRule="auto" w:before="0" w:after="120"/>
        <w:jc w:val="both"/>
      </w:pPr>
      <w:r>
        <w:rPr>
          <w:rFonts w:ascii="Times New Roman" w:cs="Times New Roman" w:eastAsia="Times New Roman" w:hAnsi="Times New Roman"/>
          <w:sz w:val="22"/>
          <w:szCs w:val="22"/>
        </w:rPr>
        <w:t xml:space="preserve">Kaggle. Disease-Symptom Dataset. </w:t>
      </w:r>
      <w:r>
        <w:rPr>
          <w:rFonts w:ascii="Times New Roman" w:cs="Times New Roman" w:eastAsia="Times New Roman" w:hAnsi="Times New Roman"/>
          <w:i/>
          <w:iCs/>
          <w:sz w:val="22"/>
          <w:szCs w:val="22"/>
        </w:rPr>
        <w:t xml:space="preserve">https://www.kaggle.com/datasets/itachi9604/disease-symptom-description-dataset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40" w:lineRule="auto" w:before="0" w:after="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2026-04-06T19:41:02.191Z</dcterms:created>
  <dcterms:modified xsi:type="dcterms:W3CDTF">2026-04-06T19:41:02.193Z</dcterms:modified>
</cp:coreProperties>
</file>

<file path=docProps/custom.xml><?xml version="1.0" encoding="utf-8"?>
<Properties xmlns="http://schemas.openxmlformats.org/officeDocument/2006/custom-properties" xmlns:vt="http://schemas.openxmlformats.org/officeDocument/2006/docPropsVTypes"/>
</file>