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C7596" w:rsidRPr="00F37CE5" w:rsidRDefault="007C7596">
      <w:pPr>
        <w:jc w:val="right"/>
        <w:rPr>
          <w:rFonts w:ascii="Garamond" w:hAnsi="Garamond"/>
        </w:rPr>
      </w:pPr>
    </w:p>
    <w:p w:rsidR="00965B6D" w:rsidRPr="00F37CE5" w:rsidRDefault="00965B6D">
      <w:pPr>
        <w:spacing w:line="360" w:lineRule="auto"/>
        <w:rPr>
          <w:rFonts w:ascii="Garamond" w:eastAsia="Garamond" w:hAnsi="Garamond" w:cs="Garamond"/>
          <w:sz w:val="28"/>
          <w:szCs w:val="28"/>
        </w:rPr>
      </w:pPr>
    </w:p>
    <w:p w:rsidR="00965B6D" w:rsidRPr="00F37CE5" w:rsidRDefault="00965B6D">
      <w:pPr>
        <w:spacing w:line="360" w:lineRule="auto"/>
        <w:rPr>
          <w:rFonts w:ascii="Garamond" w:eastAsia="Garamond" w:hAnsi="Garamond" w:cs="Garamond"/>
          <w:sz w:val="36"/>
        </w:rPr>
      </w:pPr>
    </w:p>
    <w:p w:rsidR="007C7596" w:rsidRPr="00F37CE5" w:rsidRDefault="00257E31">
      <w:pPr>
        <w:spacing w:line="360" w:lineRule="auto"/>
        <w:rPr>
          <w:rFonts w:ascii="Garamond" w:hAnsi="Garamond"/>
        </w:rPr>
      </w:pPr>
      <w:r w:rsidRPr="00F37CE5">
        <w:rPr>
          <w:rFonts w:ascii="Garamond" w:eastAsia="Garamond" w:hAnsi="Garamond" w:cs="Garamond"/>
          <w:sz w:val="36"/>
        </w:rPr>
        <w:t>Committee on Student Fees and Budget Review</w:t>
      </w:r>
    </w:p>
    <w:p w:rsidR="007C7596" w:rsidRPr="00F37CE5" w:rsidRDefault="00257E31">
      <w:pPr>
        <w:rPr>
          <w:rFonts w:ascii="Garamond" w:hAnsi="Garamond"/>
        </w:rPr>
      </w:pPr>
      <w:r w:rsidRPr="00F37CE5">
        <w:rPr>
          <w:rFonts w:ascii="Garamond" w:eastAsia="Garamond" w:hAnsi="Garamond" w:cs="Garamond"/>
          <w:b/>
          <w:smallCaps/>
          <w:color w:val="17375E"/>
          <w:sz w:val="32"/>
        </w:rPr>
        <w:t xml:space="preserve">Unit Report: </w:t>
      </w:r>
      <w:r w:rsidR="002C3549">
        <w:rPr>
          <w:rFonts w:ascii="Garamond" w:eastAsia="Garamond" w:hAnsi="Garamond" w:cs="Garamond"/>
          <w:b/>
          <w:smallCaps/>
          <w:color w:val="17375E"/>
          <w:sz w:val="32"/>
        </w:rPr>
        <w:t>Student Learning Center</w:t>
      </w:r>
    </w:p>
    <w:p w:rsidR="007C7596" w:rsidRPr="00F37CE5" w:rsidRDefault="007C7596">
      <w:pPr>
        <w:rPr>
          <w:rFonts w:ascii="Garamond" w:hAnsi="Garamond"/>
        </w:rPr>
      </w:pPr>
    </w:p>
    <w:p w:rsidR="00925B06" w:rsidRPr="00925B06" w:rsidRDefault="00CE684D" w:rsidP="00925B06">
      <w:pPr>
        <w:rPr>
          <w:szCs w:val="24"/>
        </w:rPr>
      </w:pPr>
      <w:r>
        <w:rPr>
          <w:rFonts w:ascii="Garamond" w:hAnsi="Garamond" w:cs="Times New Roman"/>
          <w:szCs w:val="24"/>
        </w:rPr>
        <w:t>Raj Thanabal</w:t>
      </w:r>
      <w:r w:rsidR="00925B06" w:rsidRPr="00925B06">
        <w:rPr>
          <w:rFonts w:ascii="Garamond" w:hAnsi="Garamond" w:cs="Times New Roman"/>
          <w:szCs w:val="24"/>
        </w:rPr>
        <w:t>, Budget Analyst</w:t>
      </w:r>
    </w:p>
    <w:p w:rsidR="00925B06" w:rsidRPr="00925B06" w:rsidRDefault="00CE684D" w:rsidP="00925B06">
      <w:pPr>
        <w:rPr>
          <w:szCs w:val="24"/>
        </w:rPr>
      </w:pPr>
      <w:r>
        <w:rPr>
          <w:rFonts w:ascii="Garamond" w:hAnsi="Garamond" w:cs="Times New Roman"/>
          <w:szCs w:val="24"/>
        </w:rPr>
        <w:t>Jack Samec</w:t>
      </w:r>
      <w:r w:rsidR="00A13C76">
        <w:rPr>
          <w:rFonts w:ascii="Garamond" w:hAnsi="Garamond" w:cs="Times New Roman"/>
          <w:szCs w:val="24"/>
        </w:rPr>
        <w:t xml:space="preserve">, </w:t>
      </w:r>
      <w:r w:rsidR="008A558D">
        <w:rPr>
          <w:rFonts w:ascii="Garamond" w:hAnsi="Garamond" w:cs="Times New Roman"/>
          <w:szCs w:val="24"/>
        </w:rPr>
        <w:t>Budget Analyst</w:t>
      </w:r>
      <w:bookmarkStart w:id="0" w:name="_GoBack"/>
      <w:bookmarkEnd w:id="0"/>
    </w:p>
    <w:p w:rsidR="007C7596" w:rsidRPr="00F37CE5" w:rsidRDefault="007C7596" w:rsidP="00F8683E">
      <w:pPr>
        <w:spacing w:line="276" w:lineRule="auto"/>
        <w:rPr>
          <w:rFonts w:ascii="Garamond" w:hAnsi="Garamond"/>
        </w:rPr>
      </w:pPr>
    </w:p>
    <w:p w:rsidR="007C7596" w:rsidRPr="00F37CE5" w:rsidRDefault="00257E31">
      <w:pPr>
        <w:spacing w:line="360" w:lineRule="auto"/>
        <w:rPr>
          <w:rFonts w:ascii="Garamond" w:hAnsi="Garamond"/>
        </w:rPr>
      </w:pPr>
      <w:r w:rsidRPr="00F37CE5">
        <w:rPr>
          <w:rFonts w:ascii="Garamond" w:eastAsia="Garamond" w:hAnsi="Garamond" w:cs="Garamond"/>
          <w:b/>
          <w:sz w:val="28"/>
          <w:u w:val="single"/>
        </w:rPr>
        <w:t>Unit Contacts</w:t>
      </w:r>
    </w:p>
    <w:tbl>
      <w:tblPr>
        <w:tblStyle w:val="a"/>
        <w:tblW w:w="9576" w:type="dxa"/>
        <w:tblLayout w:type="fixed"/>
        <w:tblLook w:val="0400" w:firstRow="0" w:lastRow="0" w:firstColumn="0" w:lastColumn="0" w:noHBand="0" w:noVBand="1"/>
      </w:tblPr>
      <w:tblGrid>
        <w:gridCol w:w="4788"/>
        <w:gridCol w:w="4788"/>
      </w:tblGrid>
      <w:tr w:rsidR="009F0F40" w:rsidRPr="00F37CE5" w:rsidTr="009F0F40">
        <w:trPr>
          <w:trHeight w:val="940"/>
        </w:trPr>
        <w:tc>
          <w:tcPr>
            <w:tcW w:w="4788" w:type="dxa"/>
          </w:tcPr>
          <w:p w:rsidR="009F0F40" w:rsidRPr="00F37CE5" w:rsidRDefault="00CE684D">
            <w:pPr>
              <w:rPr>
                <w:rFonts w:ascii="Garamond" w:hAnsi="Garamond"/>
                <w:color w:val="000000" w:themeColor="text1"/>
              </w:rPr>
            </w:pPr>
            <w:r>
              <w:rPr>
                <w:rFonts w:ascii="Garamond" w:eastAsia="Garamond" w:hAnsi="Garamond" w:cs="Garamond"/>
                <w:b/>
                <w:color w:val="000000" w:themeColor="text1"/>
              </w:rPr>
              <w:t>Cara Stanley</w:t>
            </w:r>
          </w:p>
          <w:p w:rsidR="009F0F40" w:rsidRPr="00F37CE5" w:rsidRDefault="009F0F40">
            <w:pPr>
              <w:rPr>
                <w:rFonts w:ascii="Garamond" w:hAnsi="Garamond"/>
                <w:color w:val="000000" w:themeColor="text1"/>
                <w:sz w:val="22"/>
              </w:rPr>
            </w:pPr>
            <w:r>
              <w:rPr>
                <w:rFonts w:ascii="Garamond" w:eastAsia="Garamond" w:hAnsi="Garamond" w:cs="Garamond"/>
                <w:color w:val="000000" w:themeColor="text1"/>
                <w:sz w:val="22"/>
              </w:rPr>
              <w:t xml:space="preserve">Director, </w:t>
            </w:r>
            <w:r w:rsidR="00CE684D">
              <w:rPr>
                <w:rFonts w:ascii="Garamond" w:eastAsia="Garamond" w:hAnsi="Garamond" w:cs="Garamond"/>
                <w:color w:val="000000" w:themeColor="text1"/>
                <w:sz w:val="22"/>
              </w:rPr>
              <w:t>Student Learning Center</w:t>
            </w:r>
          </w:p>
          <w:p w:rsidR="009F0F40" w:rsidRPr="00CE684D" w:rsidRDefault="003435F4" w:rsidP="00CE684D">
            <w:pPr>
              <w:rPr>
                <w:rFonts w:ascii="Garamond" w:hAnsi="Garamond"/>
                <w:color w:val="7F7F7F" w:themeColor="text1" w:themeTint="80"/>
              </w:rPr>
            </w:pPr>
            <w:hyperlink r:id="rId7" w:history="1">
              <w:r w:rsidR="00CE684D" w:rsidRPr="00CE684D">
                <w:rPr>
                  <w:rStyle w:val="Hyperlink"/>
                  <w:rFonts w:ascii="Garamond" w:eastAsia="Garamond" w:hAnsi="Garamond" w:cs="Garamond"/>
                  <w:color w:val="7F7FFF" w:themeColor="hyperlink" w:themeTint="80"/>
                  <w:u w:val="none"/>
                </w:rPr>
                <w:t>arac@berkeley.edu</w:t>
              </w:r>
            </w:hyperlink>
          </w:p>
        </w:tc>
        <w:tc>
          <w:tcPr>
            <w:tcW w:w="4788" w:type="dxa"/>
          </w:tcPr>
          <w:p w:rsidR="009F0F40" w:rsidRDefault="009F0F40" w:rsidP="00EC560A">
            <w:pPr>
              <w:rPr>
                <w:rFonts w:ascii="Garamond" w:eastAsia="Garamond" w:hAnsi="Garamond" w:cs="Garamond"/>
                <w:b/>
                <w:color w:val="000000" w:themeColor="text1"/>
              </w:rPr>
            </w:pPr>
          </w:p>
        </w:tc>
      </w:tr>
    </w:tbl>
    <w:p w:rsidR="007C7596" w:rsidRPr="009F0F40" w:rsidRDefault="007C7596">
      <w:pPr>
        <w:rPr>
          <w:rFonts w:ascii="Garamond" w:hAnsi="Garamond"/>
          <w:szCs w:val="24"/>
        </w:rPr>
      </w:pPr>
    </w:p>
    <w:p w:rsidR="007C7596" w:rsidRPr="00F37CE5" w:rsidRDefault="00257E31">
      <w:pPr>
        <w:rPr>
          <w:rFonts w:ascii="Garamond" w:hAnsi="Garamond"/>
        </w:rPr>
      </w:pPr>
      <w:r w:rsidRPr="00F37CE5">
        <w:rPr>
          <w:rFonts w:ascii="Garamond" w:eastAsia="Garamond" w:hAnsi="Garamond" w:cs="Garamond"/>
          <w:b/>
          <w:sz w:val="28"/>
          <w:u w:val="single"/>
        </w:rPr>
        <w:t>Introduction to the Unit</w:t>
      </w:r>
    </w:p>
    <w:p w:rsidR="007C7596" w:rsidRPr="00F37CE5" w:rsidRDefault="007C7596">
      <w:pPr>
        <w:rPr>
          <w:rFonts w:ascii="Garamond" w:hAnsi="Garamond"/>
        </w:rPr>
      </w:pPr>
    </w:p>
    <w:p w:rsidR="00CE684D" w:rsidRPr="00CE684D" w:rsidRDefault="00CE684D" w:rsidP="00CE684D">
      <w:pPr>
        <w:rPr>
          <w:rFonts w:ascii="Garamond" w:hAnsi="Garamond" w:cs="Times New Roman"/>
        </w:rPr>
      </w:pPr>
      <w:bookmarkStart w:id="1" w:name="h.gjdgxs" w:colFirst="0" w:colLast="0"/>
      <w:bookmarkEnd w:id="1"/>
      <w:r w:rsidRPr="00CE684D">
        <w:rPr>
          <w:rFonts w:ascii="Garamond" w:hAnsi="Garamond" w:cs="Times New Roman"/>
        </w:rPr>
        <w:t xml:space="preserve">The Student Learning Center (SLC), located in the Caesar Chavez Center, is a location where students can go to receive tutoring, engage in group-study sessions, and get any needed </w:t>
      </w:r>
      <w:r>
        <w:rPr>
          <w:rFonts w:ascii="Garamond" w:hAnsi="Garamond" w:cs="Times New Roman"/>
        </w:rPr>
        <w:t xml:space="preserve">assistance </w:t>
      </w:r>
      <w:r w:rsidRPr="00CE684D">
        <w:rPr>
          <w:rFonts w:ascii="Garamond" w:hAnsi="Garamond" w:cs="Times New Roman"/>
        </w:rPr>
        <w:t>with their academic coursework. There is a staff of 21 professionals wh</w:t>
      </w:r>
      <w:r>
        <w:rPr>
          <w:rFonts w:ascii="Garamond" w:hAnsi="Garamond" w:cs="Times New Roman"/>
        </w:rPr>
        <w:t>o</w:t>
      </w:r>
      <w:r w:rsidRPr="00CE684D">
        <w:rPr>
          <w:rFonts w:ascii="Garamond" w:hAnsi="Garamond" w:cs="Times New Roman"/>
        </w:rPr>
        <w:t xml:space="preserve"> teach courses on campus and lead weekl</w:t>
      </w:r>
      <w:r>
        <w:rPr>
          <w:rFonts w:ascii="Garamond" w:hAnsi="Garamond" w:cs="Times New Roman"/>
        </w:rPr>
        <w:t xml:space="preserve">y training seminars for the 250-300 tutors </w:t>
      </w:r>
      <w:r w:rsidRPr="00CE684D">
        <w:rPr>
          <w:rFonts w:ascii="Garamond" w:hAnsi="Garamond" w:cs="Times New Roman"/>
        </w:rPr>
        <w:t>who work more directly with students. The program is organized around disciplines</w:t>
      </w:r>
      <w:r>
        <w:rPr>
          <w:rFonts w:ascii="Garamond" w:hAnsi="Garamond" w:cs="Times New Roman"/>
        </w:rPr>
        <w:t>,</w:t>
      </w:r>
      <w:r w:rsidRPr="00CE684D">
        <w:rPr>
          <w:rFonts w:ascii="Garamond" w:hAnsi="Garamond" w:cs="Times New Roman"/>
        </w:rPr>
        <w:t xml:space="preserve"> and is pushing for a more transformative rather than transactional teaching philosophy. The SLC also manages the Summer Bridge Program, the Leadership Honor Society and serves as a liaison to the DeCal program.</w:t>
      </w:r>
    </w:p>
    <w:p w:rsidR="00CE684D" w:rsidRPr="00CE684D" w:rsidRDefault="00CE684D" w:rsidP="00CE684D">
      <w:pPr>
        <w:rPr>
          <w:rFonts w:ascii="Garamond" w:hAnsi="Garamond" w:cs="Times New Roman"/>
        </w:rPr>
      </w:pPr>
    </w:p>
    <w:p w:rsidR="00CE684D" w:rsidRPr="00CE684D" w:rsidRDefault="00CE684D" w:rsidP="00CE684D">
      <w:pPr>
        <w:rPr>
          <w:rFonts w:ascii="Garamond" w:hAnsi="Garamond" w:cs="Times New Roman"/>
        </w:rPr>
      </w:pPr>
      <w:r w:rsidRPr="00CE684D">
        <w:rPr>
          <w:rFonts w:ascii="Garamond" w:hAnsi="Garamond" w:cs="Times New Roman"/>
        </w:rPr>
        <w:t>The Student Learning Center serves about 7</w:t>
      </w:r>
      <w:r>
        <w:rPr>
          <w:rFonts w:ascii="Garamond" w:hAnsi="Garamond" w:cs="Times New Roman"/>
        </w:rPr>
        <w:t>,</w:t>
      </w:r>
      <w:r w:rsidRPr="00CE684D">
        <w:rPr>
          <w:rFonts w:ascii="Garamond" w:hAnsi="Garamond" w:cs="Times New Roman"/>
        </w:rPr>
        <w:t>100 unique students each year, 50</w:t>
      </w:r>
      <w:r>
        <w:rPr>
          <w:rFonts w:ascii="Garamond" w:hAnsi="Garamond" w:cs="Times New Roman"/>
        </w:rPr>
        <w:t>%</w:t>
      </w:r>
      <w:r w:rsidRPr="00CE684D">
        <w:rPr>
          <w:rFonts w:ascii="Garamond" w:hAnsi="Garamond" w:cs="Times New Roman"/>
        </w:rPr>
        <w:t xml:space="preserve"> of whom are international students. 37% of all undergraduate students use the SLC. The program also </w:t>
      </w:r>
      <w:r>
        <w:rPr>
          <w:rFonts w:ascii="Garamond" w:hAnsi="Garamond" w:cs="Times New Roman"/>
        </w:rPr>
        <w:t>helps</w:t>
      </w:r>
      <w:r w:rsidRPr="00CE684D">
        <w:rPr>
          <w:rFonts w:ascii="Garamond" w:hAnsi="Garamond" w:cs="Times New Roman"/>
        </w:rPr>
        <w:t xml:space="preserve"> transfer students adjust to the increased workload of upper division classes, </w:t>
      </w:r>
      <w:r>
        <w:rPr>
          <w:rFonts w:ascii="Garamond" w:hAnsi="Garamond" w:cs="Times New Roman"/>
        </w:rPr>
        <w:t>in addition to its primary target sophomore and freshmen student populations</w:t>
      </w:r>
      <w:r w:rsidRPr="00CE684D">
        <w:rPr>
          <w:rFonts w:ascii="Garamond" w:hAnsi="Garamond" w:cs="Times New Roman"/>
        </w:rPr>
        <w:t>. Those seeking</w:t>
      </w:r>
      <w:r>
        <w:rPr>
          <w:rFonts w:ascii="Garamond" w:hAnsi="Garamond" w:cs="Times New Roman"/>
        </w:rPr>
        <w:t xml:space="preserve"> academic assistance can either s</w:t>
      </w:r>
      <w:r w:rsidRPr="00CE684D">
        <w:rPr>
          <w:rFonts w:ascii="Garamond" w:hAnsi="Garamond" w:cs="Times New Roman"/>
        </w:rPr>
        <w:t xml:space="preserve">ign up for group study sessions taught by a group leader – this can be seen as an extended discussion section of a particular class – or for independent drop-in tutoring for a more personal meeting. </w:t>
      </w:r>
    </w:p>
    <w:p w:rsidR="00CE684D" w:rsidRPr="00CE684D" w:rsidRDefault="00CE684D" w:rsidP="00CE684D">
      <w:pPr>
        <w:rPr>
          <w:rFonts w:ascii="Garamond" w:hAnsi="Garamond" w:cs="Times New Roman"/>
        </w:rPr>
      </w:pPr>
    </w:p>
    <w:p w:rsidR="00F71865" w:rsidRDefault="00CE684D" w:rsidP="00CE684D">
      <w:pPr>
        <w:rPr>
          <w:rFonts w:ascii="Garamond" w:hAnsi="Garamond" w:cs="Times New Roman"/>
        </w:rPr>
      </w:pPr>
      <w:r>
        <w:rPr>
          <w:rFonts w:ascii="Garamond" w:hAnsi="Garamond" w:cs="Times New Roman"/>
        </w:rPr>
        <w:t>The budget for the 2013-</w:t>
      </w:r>
      <w:r w:rsidRPr="00CE684D">
        <w:rPr>
          <w:rFonts w:ascii="Garamond" w:hAnsi="Garamond" w:cs="Times New Roman"/>
        </w:rPr>
        <w:t xml:space="preserve">2014 </w:t>
      </w:r>
      <w:r>
        <w:rPr>
          <w:rFonts w:ascii="Garamond" w:hAnsi="Garamond" w:cs="Times New Roman"/>
        </w:rPr>
        <w:t xml:space="preserve">year </w:t>
      </w:r>
      <w:r w:rsidRPr="00CE684D">
        <w:rPr>
          <w:rFonts w:ascii="Garamond" w:hAnsi="Garamond" w:cs="Times New Roman"/>
        </w:rPr>
        <w:t xml:space="preserve">was $1.729M. Over the past 13 years the program has net lost over </w:t>
      </w:r>
      <w:r>
        <w:rPr>
          <w:rFonts w:ascii="Garamond" w:hAnsi="Garamond" w:cs="Times New Roman"/>
        </w:rPr>
        <w:t>$</w:t>
      </w:r>
      <w:r w:rsidRPr="00CE684D">
        <w:rPr>
          <w:rFonts w:ascii="Garamond" w:hAnsi="Garamond" w:cs="Times New Roman"/>
        </w:rPr>
        <w:t>800</w:t>
      </w:r>
      <w:r>
        <w:rPr>
          <w:rFonts w:ascii="Garamond" w:hAnsi="Garamond" w:cs="Times New Roman"/>
        </w:rPr>
        <w:t>K</w:t>
      </w:r>
      <w:r w:rsidRPr="00CE684D">
        <w:rPr>
          <w:rFonts w:ascii="Garamond" w:hAnsi="Garamond" w:cs="Times New Roman"/>
        </w:rPr>
        <w:t xml:space="preserve"> as a result of budget cuts. This year’s budget will be $1.477M. The Student Services Fee accounts for approximately $40</w:t>
      </w:r>
      <w:r>
        <w:rPr>
          <w:rFonts w:ascii="Garamond" w:hAnsi="Garamond" w:cs="Times New Roman"/>
        </w:rPr>
        <w:t>0K-$500K which is</w:t>
      </w:r>
      <w:r w:rsidRPr="00CE684D">
        <w:rPr>
          <w:rFonts w:ascii="Garamond" w:hAnsi="Garamond" w:cs="Times New Roman"/>
        </w:rPr>
        <w:t xml:space="preserve"> restricted to tutorial services, drop-in study groups, and workshops.</w:t>
      </w:r>
    </w:p>
    <w:p w:rsidR="00F71865" w:rsidRDefault="00F71865" w:rsidP="00F71865">
      <w:pPr>
        <w:rPr>
          <w:rFonts w:ascii="Garamond" w:hAnsi="Garamond" w:cs="Times New Roman"/>
          <w:b/>
          <w:szCs w:val="24"/>
          <w:u w:val="single"/>
        </w:rPr>
      </w:pPr>
    </w:p>
    <w:p w:rsidR="00F37CE5" w:rsidRDefault="00F37CE5" w:rsidP="00F37CE5">
      <w:pPr>
        <w:rPr>
          <w:rFonts w:ascii="Garamond" w:hAnsi="Garamond" w:cs="Times New Roman"/>
          <w:b/>
          <w:sz w:val="28"/>
          <w:u w:val="single"/>
        </w:rPr>
      </w:pPr>
      <w:r w:rsidRPr="00DC4B86">
        <w:rPr>
          <w:rFonts w:ascii="Garamond" w:hAnsi="Garamond" w:cs="Times New Roman"/>
          <w:b/>
          <w:sz w:val="28"/>
          <w:u w:val="single"/>
        </w:rPr>
        <w:t>Unit Director Meeting Findings</w:t>
      </w:r>
    </w:p>
    <w:p w:rsidR="00F37CE5" w:rsidRPr="00F37CE5" w:rsidRDefault="00F37CE5" w:rsidP="00F37CE5">
      <w:pPr>
        <w:rPr>
          <w:rFonts w:ascii="Garamond" w:hAnsi="Garamond" w:cs="Times New Roman"/>
        </w:rPr>
      </w:pPr>
    </w:p>
    <w:p w:rsidR="009A64AA" w:rsidRDefault="009A64AA" w:rsidP="00C0708D">
      <w:pPr>
        <w:rPr>
          <w:rFonts w:ascii="Garamond" w:hAnsi="Garamond" w:cs="Times New Roman"/>
        </w:rPr>
      </w:pPr>
      <w:r w:rsidRPr="009A64AA">
        <w:rPr>
          <w:rFonts w:ascii="Garamond" w:hAnsi="Garamond" w:cs="Times New Roman"/>
        </w:rPr>
        <w:t xml:space="preserve">Despite budgetary cuts and restraints over the past decade, the SLC has not seen much of a reduction of services. In the past few years, the influx of international students, who are more likely to use the SLC to start with, has increased the demand for summer bridge programs and general language services at the SLC. Being a service provider, most of the expenditures are allotted to payroll for tutors and professionals. The tutors are unionized and must </w:t>
      </w:r>
      <w:r>
        <w:rPr>
          <w:rFonts w:ascii="Garamond" w:hAnsi="Garamond" w:cs="Times New Roman"/>
        </w:rPr>
        <w:t>be paid in accordance with the U</w:t>
      </w:r>
      <w:r w:rsidRPr="009A64AA">
        <w:rPr>
          <w:rFonts w:ascii="Garamond" w:hAnsi="Garamond" w:cs="Times New Roman"/>
        </w:rPr>
        <w:t xml:space="preserve">nion’s request, which continues to increase year-to-year with salary inflation. </w:t>
      </w:r>
    </w:p>
    <w:p w:rsidR="00C7573E" w:rsidRDefault="009A64AA" w:rsidP="00C0708D">
      <w:pPr>
        <w:rPr>
          <w:rFonts w:ascii="Garamond" w:hAnsi="Garamond" w:cs="Times New Roman"/>
        </w:rPr>
      </w:pPr>
      <w:r w:rsidRPr="009A64AA">
        <w:rPr>
          <w:rFonts w:ascii="Garamond" w:hAnsi="Garamond" w:cs="Times New Roman"/>
        </w:rPr>
        <w:lastRenderedPageBreak/>
        <w:t xml:space="preserve">The SLC is having difficulty hiring new professionals </w:t>
      </w:r>
      <w:r w:rsidR="00DA0ED4">
        <w:rPr>
          <w:rFonts w:ascii="Garamond" w:hAnsi="Garamond" w:cs="Times New Roman"/>
        </w:rPr>
        <w:t>due to high salary and costly benefits expectations</w:t>
      </w:r>
      <w:r w:rsidRPr="009A64AA">
        <w:rPr>
          <w:rFonts w:ascii="Garamond" w:hAnsi="Garamond" w:cs="Times New Roman"/>
        </w:rPr>
        <w:t xml:space="preserve">. Last year the </w:t>
      </w:r>
      <w:r w:rsidR="00DA0ED4">
        <w:rPr>
          <w:rFonts w:ascii="Garamond" w:hAnsi="Garamond" w:cs="Times New Roman"/>
        </w:rPr>
        <w:t>SLC</w:t>
      </w:r>
      <w:r w:rsidRPr="009A64AA">
        <w:rPr>
          <w:rFonts w:ascii="Garamond" w:hAnsi="Garamond" w:cs="Times New Roman"/>
        </w:rPr>
        <w:t xml:space="preserve"> won a $30K national collegial prize for quality of education provided. With an additional increase in Student Services Fees, the SLC would look to initiate a creative writing program to help students move away from the ‘prescriptive’ writing experience toward a more organic form. The SLC is also looking fo</w:t>
      </w:r>
      <w:r w:rsidR="00DA0ED4">
        <w:rPr>
          <w:rFonts w:ascii="Garamond" w:hAnsi="Garamond" w:cs="Times New Roman"/>
        </w:rPr>
        <w:t>r ways to create a more cutting-edge</w:t>
      </w:r>
      <w:r w:rsidRPr="009A64AA">
        <w:rPr>
          <w:rFonts w:ascii="Garamond" w:hAnsi="Garamond" w:cs="Times New Roman"/>
        </w:rPr>
        <w:t xml:space="preserve"> and global learning experience that does not simply inform students but creates a learning environment that goes beyond the classroom.</w:t>
      </w:r>
    </w:p>
    <w:p w:rsidR="002B7D64" w:rsidRDefault="002B7D64" w:rsidP="002B7D64">
      <w:pPr>
        <w:rPr>
          <w:rFonts w:ascii="Garamond" w:eastAsiaTheme="minorHAnsi" w:hAnsi="Garamond" w:cs="Times New Roman"/>
        </w:rPr>
      </w:pPr>
    </w:p>
    <w:p w:rsidR="00CE27D7" w:rsidRPr="00DC4B86" w:rsidRDefault="00CE27D7" w:rsidP="00F37CE5">
      <w:pPr>
        <w:rPr>
          <w:rFonts w:ascii="Garamond" w:eastAsiaTheme="minorHAnsi" w:hAnsi="Garamond" w:cs="Times New Roman"/>
        </w:rPr>
      </w:pPr>
    </w:p>
    <w:p w:rsidR="00F37CE5" w:rsidRPr="00DC4B86" w:rsidRDefault="00F37CE5" w:rsidP="00F37CE5">
      <w:pPr>
        <w:rPr>
          <w:rFonts w:ascii="Garamond" w:hAnsi="Garamond" w:cs="Times New Roman"/>
          <w:b/>
          <w:i/>
        </w:rPr>
      </w:pPr>
      <w:r w:rsidRPr="00DC4B86">
        <w:rPr>
          <w:rFonts w:ascii="Garamond" w:hAnsi="Garamond" w:cs="Times New Roman"/>
          <w:b/>
          <w:sz w:val="28"/>
          <w:u w:val="single"/>
        </w:rPr>
        <w:t>Compliance with Guidelines</w:t>
      </w:r>
    </w:p>
    <w:p w:rsidR="00F37CE5" w:rsidRPr="00447DE1" w:rsidRDefault="00F37CE5" w:rsidP="00F37CE5">
      <w:pPr>
        <w:rPr>
          <w:rFonts w:ascii="Garamond" w:hAnsi="Garamond" w:cs="Times New Roman"/>
          <w:b/>
        </w:rPr>
      </w:pPr>
    </w:p>
    <w:p w:rsidR="009F0B75" w:rsidRDefault="009F0B75" w:rsidP="00F37CE5">
      <w:pPr>
        <w:widowControl w:val="0"/>
        <w:autoSpaceDE w:val="0"/>
        <w:autoSpaceDN w:val="0"/>
        <w:adjustRightInd w:val="0"/>
        <w:rPr>
          <w:rFonts w:ascii="Garamond" w:hAnsi="Garamond" w:cs="Times New Roman"/>
        </w:rPr>
      </w:pPr>
      <w:r>
        <w:rPr>
          <w:rFonts w:ascii="Garamond" w:hAnsi="Garamond" w:cs="Times New Roman"/>
        </w:rPr>
        <w:t xml:space="preserve">The SSF guidelines indicate that the student services fee is intended for use for, but not limited to: services related to psychological health and well-being of students, social and recreational programs, services related to campus life and community, and career support. </w:t>
      </w:r>
    </w:p>
    <w:p w:rsidR="009F0B75" w:rsidRDefault="009F0B75" w:rsidP="00F37CE5">
      <w:pPr>
        <w:widowControl w:val="0"/>
        <w:autoSpaceDE w:val="0"/>
        <w:autoSpaceDN w:val="0"/>
        <w:adjustRightInd w:val="0"/>
        <w:rPr>
          <w:rFonts w:ascii="Garamond" w:hAnsi="Garamond" w:cs="Times New Roman"/>
        </w:rPr>
      </w:pPr>
    </w:p>
    <w:p w:rsidR="009A26FB" w:rsidRDefault="00A51037" w:rsidP="00F37CE5">
      <w:pPr>
        <w:rPr>
          <w:rFonts w:ascii="Garamond" w:hAnsi="Garamond" w:cs="Times New Roman"/>
        </w:rPr>
      </w:pPr>
      <w:r w:rsidRPr="00A51037">
        <w:rPr>
          <w:rFonts w:ascii="Garamond" w:hAnsi="Garamond" w:cs="Times New Roman"/>
        </w:rPr>
        <w:t xml:space="preserve">The SLC is within the Student Services Fee guidelines as it is complementary to, but not part of, the core </w:t>
      </w:r>
      <w:r>
        <w:rPr>
          <w:rFonts w:ascii="Garamond" w:hAnsi="Garamond" w:cs="Times New Roman"/>
        </w:rPr>
        <w:t xml:space="preserve">instructional program. The SLC </w:t>
      </w:r>
      <w:r w:rsidRPr="00A51037">
        <w:rPr>
          <w:rFonts w:ascii="Garamond" w:hAnsi="Garamond" w:cs="Times New Roman"/>
        </w:rPr>
        <w:t>is a program created intentionally outside of the academic lecture halls to support students who need extra help. This program is not part of any educational department or major on campus and although it does</w:t>
      </w:r>
      <w:r>
        <w:rPr>
          <w:rFonts w:ascii="Garamond" w:hAnsi="Garamond" w:cs="Times New Roman"/>
        </w:rPr>
        <w:t xml:space="preserve"> teach students course material –</w:t>
      </w:r>
      <w:r w:rsidRPr="00A51037">
        <w:rPr>
          <w:rFonts w:ascii="Garamond" w:hAnsi="Garamond" w:cs="Times New Roman"/>
        </w:rPr>
        <w:t xml:space="preserve"> it is an external unit that provides counseling and tutoring as an extra service to students.</w:t>
      </w:r>
    </w:p>
    <w:p w:rsidR="009A26FB" w:rsidRDefault="009A26FB" w:rsidP="00F37CE5">
      <w:pPr>
        <w:rPr>
          <w:rFonts w:ascii="Garamond" w:hAnsi="Garamond" w:cs="Times New Roman"/>
        </w:rPr>
      </w:pPr>
    </w:p>
    <w:p w:rsidR="009A26FB" w:rsidRPr="00DC4B86" w:rsidRDefault="009A26FB" w:rsidP="00F37CE5">
      <w:pPr>
        <w:rPr>
          <w:rFonts w:ascii="Garamond" w:hAnsi="Garamond" w:cs="Times New Roman"/>
          <w:b/>
          <w:u w:val="single"/>
        </w:rPr>
      </w:pPr>
    </w:p>
    <w:p w:rsidR="00F37CE5" w:rsidRPr="00DC4B86" w:rsidRDefault="00F37CE5" w:rsidP="00F37CE5">
      <w:pPr>
        <w:rPr>
          <w:rFonts w:ascii="Garamond" w:hAnsi="Garamond" w:cs="Times New Roman"/>
          <w:b/>
          <w:u w:val="single"/>
        </w:rPr>
      </w:pPr>
      <w:r w:rsidRPr="00DC4B86">
        <w:rPr>
          <w:rFonts w:ascii="Garamond" w:hAnsi="Garamond" w:cs="Times New Roman"/>
          <w:b/>
          <w:u w:val="single"/>
        </w:rPr>
        <w:t>Preliminary Recommendations</w:t>
      </w:r>
    </w:p>
    <w:p w:rsidR="00F37CE5" w:rsidRPr="00DC4B86" w:rsidRDefault="00F37CE5" w:rsidP="00F37CE5">
      <w:pPr>
        <w:rPr>
          <w:rFonts w:ascii="Garamond" w:hAnsi="Garamond" w:cs="Times New Roman"/>
        </w:rPr>
      </w:pPr>
    </w:p>
    <w:p w:rsidR="007C7596" w:rsidRPr="00F37CE5" w:rsidRDefault="00F46B51" w:rsidP="00F46B51">
      <w:pPr>
        <w:widowControl w:val="0"/>
        <w:autoSpaceDE w:val="0"/>
        <w:autoSpaceDN w:val="0"/>
        <w:adjustRightInd w:val="0"/>
        <w:rPr>
          <w:rFonts w:ascii="Garamond" w:eastAsiaTheme="minorHAnsi" w:hAnsi="Garamond" w:cs="Times New Roman"/>
        </w:rPr>
      </w:pPr>
      <w:r w:rsidRPr="00F46B51">
        <w:rPr>
          <w:rFonts w:ascii="Garamond" w:hAnsi="Garamond" w:cs="Times New Roman"/>
        </w:rPr>
        <w:t xml:space="preserve">Our recommendation is that the SLC receive sustained funding from the Student Services Fee. The Center has been preforming well, and as noted by Director Cara Stanley, budget cuts would not necessarily change the impact and effectiveness </w:t>
      </w:r>
      <w:r>
        <w:rPr>
          <w:rFonts w:ascii="Garamond" w:hAnsi="Garamond" w:cs="Times New Roman"/>
        </w:rPr>
        <w:t>of the program</w:t>
      </w:r>
      <w:r w:rsidRPr="00F46B51">
        <w:rPr>
          <w:rFonts w:ascii="Garamond" w:hAnsi="Garamond" w:cs="Times New Roman"/>
        </w:rPr>
        <w:t>.</w:t>
      </w:r>
      <w:r>
        <w:rPr>
          <w:rFonts w:ascii="Garamond" w:hAnsi="Garamond" w:cs="Times New Roman"/>
        </w:rPr>
        <w:t xml:space="preserve"> However, individual tutoring</w:t>
      </w:r>
      <w:r w:rsidR="00241925">
        <w:rPr>
          <w:rFonts w:ascii="Garamond" w:hAnsi="Garamond" w:cs="Times New Roman"/>
        </w:rPr>
        <w:t xml:space="preserve"> services</w:t>
      </w:r>
      <w:r>
        <w:rPr>
          <w:rFonts w:ascii="Garamond" w:hAnsi="Garamond" w:cs="Times New Roman"/>
        </w:rPr>
        <w:t xml:space="preserve"> would be </w:t>
      </w:r>
      <w:r w:rsidR="00241925">
        <w:rPr>
          <w:rFonts w:ascii="Garamond" w:hAnsi="Garamond" w:cs="Times New Roman"/>
        </w:rPr>
        <w:t>substituted for group tutoring to accommodate for such a change.</w:t>
      </w:r>
      <w:r w:rsidRPr="00F46B51">
        <w:rPr>
          <w:rFonts w:ascii="Garamond" w:hAnsi="Garamond" w:cs="Times New Roman"/>
        </w:rPr>
        <w:t xml:space="preserve"> The S</w:t>
      </w:r>
      <w:r w:rsidR="00241925">
        <w:rPr>
          <w:rFonts w:ascii="Garamond" w:hAnsi="Garamond" w:cs="Times New Roman"/>
        </w:rPr>
        <w:t>LC</w:t>
      </w:r>
      <w:r w:rsidRPr="00F46B51">
        <w:rPr>
          <w:rFonts w:ascii="Garamond" w:hAnsi="Garamond" w:cs="Times New Roman"/>
        </w:rPr>
        <w:t xml:space="preserve"> is currently dealing with an influx of international </w:t>
      </w:r>
      <w:r w:rsidR="00241925">
        <w:rPr>
          <w:rFonts w:ascii="Garamond" w:hAnsi="Garamond" w:cs="Times New Roman"/>
        </w:rPr>
        <w:t xml:space="preserve">students and thus should not </w:t>
      </w:r>
      <w:r w:rsidRPr="00F46B51">
        <w:rPr>
          <w:rFonts w:ascii="Garamond" w:hAnsi="Garamond" w:cs="Times New Roman"/>
        </w:rPr>
        <w:t xml:space="preserve">see </w:t>
      </w:r>
      <w:r w:rsidR="00241925">
        <w:rPr>
          <w:rFonts w:ascii="Garamond" w:hAnsi="Garamond" w:cs="Times New Roman"/>
        </w:rPr>
        <w:t xml:space="preserve">budgetary </w:t>
      </w:r>
      <w:r w:rsidRPr="00F46B51">
        <w:rPr>
          <w:rFonts w:ascii="Garamond" w:hAnsi="Garamond" w:cs="Times New Roman"/>
        </w:rPr>
        <w:t>cuts. The center has prov</w:t>
      </w:r>
      <w:r w:rsidR="00D8723E">
        <w:rPr>
          <w:rFonts w:ascii="Garamond" w:hAnsi="Garamond" w:cs="Times New Roman"/>
        </w:rPr>
        <w:t>en its ability to operate through</w:t>
      </w:r>
      <w:r w:rsidRPr="00F46B51">
        <w:rPr>
          <w:rFonts w:ascii="Garamond" w:hAnsi="Garamond" w:cs="Times New Roman"/>
        </w:rPr>
        <w:t xml:space="preserve"> changing financial climates</w:t>
      </w:r>
      <w:r w:rsidR="00D8723E">
        <w:rPr>
          <w:rFonts w:ascii="Garamond" w:hAnsi="Garamond" w:cs="Times New Roman"/>
        </w:rPr>
        <w:t>,</w:t>
      </w:r>
      <w:r w:rsidRPr="00F46B51">
        <w:rPr>
          <w:rFonts w:ascii="Garamond" w:hAnsi="Garamond" w:cs="Times New Roman"/>
        </w:rPr>
        <w:t xml:space="preserve"> and should see a maintained level of funding from the SSF.</w:t>
      </w:r>
    </w:p>
    <w:sectPr w:rsidR="007C7596" w:rsidRPr="00F37CE5" w:rsidSect="00965B6D">
      <w:headerReference w:type="default" r:id="rId8"/>
      <w:footerReference w:type="default" r:id="rId9"/>
      <w:headerReference w:type="first" r:id="rId10"/>
      <w:footerReference w:type="first" r:id="rId11"/>
      <w:pgSz w:w="12240" w:h="15840"/>
      <w:pgMar w:top="1080" w:right="1440" w:bottom="108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5F4" w:rsidRDefault="003435F4">
      <w:r>
        <w:separator/>
      </w:r>
    </w:p>
  </w:endnote>
  <w:endnote w:type="continuationSeparator" w:id="0">
    <w:p w:rsidR="003435F4" w:rsidRDefault="00343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596" w:rsidRDefault="000E42CF">
    <w:pPr>
      <w:tabs>
        <w:tab w:val="center" w:pos="4680"/>
        <w:tab w:val="right" w:pos="9360"/>
      </w:tabs>
    </w:pPr>
    <w:r>
      <w:rPr>
        <w:rFonts w:ascii="Garamond" w:hAnsi="Garamond" w:cs="Times New Roman"/>
        <w:noProof/>
      </w:rPr>
      <mc:AlternateContent>
        <mc:Choice Requires="wps">
          <w:drawing>
            <wp:anchor distT="0" distB="0" distL="114300" distR="114300" simplePos="0" relativeHeight="251663360" behindDoc="0" locked="0" layoutInCell="1" allowOverlap="1" wp14:anchorId="3EA0373A" wp14:editId="23739220">
              <wp:simplePos x="0" y="0"/>
              <wp:positionH relativeFrom="column">
                <wp:posOffset>646386</wp:posOffset>
              </wp:positionH>
              <wp:positionV relativeFrom="paragraph">
                <wp:posOffset>200025</wp:posOffset>
              </wp:positionV>
              <wp:extent cx="5848350" cy="325755"/>
              <wp:effectExtent l="0" t="0" r="0" b="0"/>
              <wp:wrapNone/>
              <wp:docPr id="6" name="Text Box 6"/>
              <wp:cNvGraphicFramePr/>
              <a:graphic xmlns:a="http://schemas.openxmlformats.org/drawingml/2006/main">
                <a:graphicData uri="http://schemas.microsoft.com/office/word/2010/wordprocessingShape">
                  <wps:wsp>
                    <wps:cNvSpPr txBox="1"/>
                    <wps:spPr>
                      <a:xfrm>
                        <a:off x="0" y="0"/>
                        <a:ext cx="5848350" cy="3257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E42CF" w:rsidRPr="00D00102" w:rsidRDefault="000E42CF" w:rsidP="000E42CF">
                          <w:pPr>
                            <w:pStyle w:val="Footer"/>
                            <w:jc w:val="right"/>
                            <w:rPr>
                              <w:rFonts w:ascii="Garamond" w:hAnsi="Garamond"/>
                              <w:color w:val="7F7F7F" w:themeColor="text1" w:themeTint="80"/>
                            </w:rPr>
                          </w:pPr>
                          <w:r w:rsidRPr="00D00102">
                            <w:rPr>
                              <w:rFonts w:ascii="Garamond" w:hAnsi="Garamond"/>
                              <w:color w:val="7F7F7F" w:themeColor="text1" w:themeTint="80"/>
                            </w:rPr>
                            <w:t>Committee on Stu</w:t>
                          </w:r>
                          <w:r>
                            <w:rPr>
                              <w:rFonts w:ascii="Garamond" w:hAnsi="Garamond"/>
                              <w:color w:val="7F7F7F" w:themeColor="text1" w:themeTint="80"/>
                            </w:rPr>
                            <w:t>dent Fees and Budget Review 2014-2015</w:t>
                          </w:r>
                          <w:r w:rsidRPr="000E42CF">
                            <w:rPr>
                              <w:rFonts w:ascii="Garamond" w:hAnsi="Garamond"/>
                              <w:color w:val="7F7F7F" w:themeColor="text1" w:themeTint="80"/>
                              <w:vertAlign w:val="superscript"/>
                            </w:rPr>
                            <w:t>©</w:t>
                          </w:r>
                          <w:r w:rsidRPr="00D00102">
                            <w:rPr>
                              <w:rFonts w:ascii="Garamond" w:hAnsi="Garamond"/>
                              <w:color w:val="7F7F7F" w:themeColor="text1" w:themeTint="80"/>
                            </w:rPr>
                            <w:t xml:space="preserve"> | csf.berkeley.edu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50.9pt;margin-top:15.75pt;width:460.5pt;height:25.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" fillcolor="white [3201]" stroked="f" strokeweight=".5pt">
              <v:textbox>
                <w:txbxContent>
                  <w:p w:rsidR="000E42CF" w:rsidRPr="00D00102" w:rsidRDefault="000E42CF" w:rsidP="000E42CF">
                    <w:pPr>
                      <w:pStyle w:val="Footer"/>
                      <w:jc w:val="right"/>
                      <w:rPr>
                        <w:rFonts w:ascii="Garamond" w:hAnsi="Garamond"/>
                        <w:color w:val="7F7F7F" w:themeColor="text1" w:themeTint="80"/>
                      </w:rPr>
                    </w:pPr>
                    <w:r w:rsidRPr="00D00102">
                      <w:rPr>
                        <w:rFonts w:ascii="Garamond" w:hAnsi="Garamond"/>
                        <w:color w:val="7F7F7F" w:themeColor="text1" w:themeTint="80"/>
                      </w:rPr>
                      <w:t>Committee on Stu</w:t>
                    </w:r>
                    <w:r>
                      <w:rPr>
                        <w:rFonts w:ascii="Garamond" w:hAnsi="Garamond"/>
                        <w:color w:val="7F7F7F" w:themeColor="text1" w:themeTint="80"/>
                      </w:rPr>
                      <w:t>dent Fees and Budget Review 2014-2015</w:t>
                    </w:r>
                    <w:r w:rsidRPr="000E42CF">
                      <w:rPr>
                        <w:rFonts w:ascii="Garamond" w:hAnsi="Garamond"/>
                        <w:color w:val="7F7F7F" w:themeColor="text1" w:themeTint="80"/>
                        <w:vertAlign w:val="superscript"/>
                      </w:rPr>
                      <w:t>©</w:t>
                    </w:r>
                    <w:r w:rsidRPr="00D00102">
                      <w:rPr>
                        <w:rFonts w:ascii="Garamond" w:hAnsi="Garamond"/>
                        <w:color w:val="7F7F7F" w:themeColor="text1" w:themeTint="80"/>
                      </w:rPr>
                      <w:t xml:space="preserve"> | csf.berkeley.edu</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2CF" w:rsidRDefault="000E42CF">
    <w:pPr>
      <w:pStyle w:val="Footer"/>
    </w:pPr>
    <w:r>
      <w:rPr>
        <w:rFonts w:ascii="Garamond" w:hAnsi="Garamond" w:cs="Times New Roman"/>
        <w:noProof/>
      </w:rPr>
      <mc:AlternateContent>
        <mc:Choice Requires="wps">
          <w:drawing>
            <wp:anchor distT="0" distB="0" distL="114300" distR="114300" simplePos="0" relativeHeight="251661312" behindDoc="0" locked="0" layoutInCell="1" allowOverlap="1" wp14:anchorId="2CAEF234" wp14:editId="4E8E8211">
              <wp:simplePos x="0" y="0"/>
              <wp:positionH relativeFrom="column">
                <wp:posOffset>652780</wp:posOffset>
              </wp:positionH>
              <wp:positionV relativeFrom="paragraph">
                <wp:posOffset>199346</wp:posOffset>
              </wp:positionV>
              <wp:extent cx="5784850" cy="325755"/>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5784850" cy="3257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E42CF" w:rsidRPr="00D00102" w:rsidRDefault="000E42CF" w:rsidP="000E42CF">
                          <w:pPr>
                            <w:pStyle w:val="Footer"/>
                            <w:jc w:val="right"/>
                            <w:rPr>
                              <w:rFonts w:ascii="Garamond" w:hAnsi="Garamond"/>
                              <w:color w:val="7F7F7F" w:themeColor="text1" w:themeTint="80"/>
                            </w:rPr>
                          </w:pPr>
                          <w:r w:rsidRPr="00D00102">
                            <w:rPr>
                              <w:rFonts w:ascii="Garamond" w:hAnsi="Garamond"/>
                              <w:color w:val="7F7F7F" w:themeColor="text1" w:themeTint="80"/>
                            </w:rPr>
                            <w:t>Committee on Stu</w:t>
                          </w:r>
                          <w:r>
                            <w:rPr>
                              <w:rFonts w:ascii="Garamond" w:hAnsi="Garamond"/>
                              <w:color w:val="7F7F7F" w:themeColor="text1" w:themeTint="80"/>
                            </w:rPr>
                            <w:t>dent Fees and Budget Review 2014-2015</w:t>
                          </w:r>
                          <w:r w:rsidRPr="000E42CF">
                            <w:rPr>
                              <w:rFonts w:ascii="Garamond" w:hAnsi="Garamond"/>
                              <w:color w:val="7F7F7F" w:themeColor="text1" w:themeTint="80"/>
                              <w:vertAlign w:val="superscript"/>
                            </w:rPr>
                            <w:t>©</w:t>
                          </w:r>
                          <w:r w:rsidRPr="00D00102">
                            <w:rPr>
                              <w:rFonts w:ascii="Garamond" w:hAnsi="Garamond"/>
                              <w:color w:val="7F7F7F" w:themeColor="text1" w:themeTint="80"/>
                            </w:rPr>
                            <w:t xml:space="preserve"> | csf.berkeley.edu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51.4pt;margin-top:15.7pt;width:455.5pt;height:25.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" fillcolor="white [3201]" stroked="f" strokeweight=".5pt">
              <v:textbox>
                <w:txbxContent>
                  <w:p w:rsidR="000E42CF" w:rsidRPr="00D00102" w:rsidRDefault="000E42CF" w:rsidP="000E42CF">
                    <w:pPr>
                      <w:pStyle w:val="Footer"/>
                      <w:jc w:val="right"/>
                      <w:rPr>
                        <w:rFonts w:ascii="Garamond" w:hAnsi="Garamond"/>
                        <w:color w:val="7F7F7F" w:themeColor="text1" w:themeTint="80"/>
                      </w:rPr>
                    </w:pPr>
                    <w:r w:rsidRPr="00D00102">
                      <w:rPr>
                        <w:rFonts w:ascii="Garamond" w:hAnsi="Garamond"/>
                        <w:color w:val="7F7F7F" w:themeColor="text1" w:themeTint="80"/>
                      </w:rPr>
                      <w:t>Committee on Stu</w:t>
                    </w:r>
                    <w:r>
                      <w:rPr>
                        <w:rFonts w:ascii="Garamond" w:hAnsi="Garamond"/>
                        <w:color w:val="7F7F7F" w:themeColor="text1" w:themeTint="80"/>
                      </w:rPr>
                      <w:t>dent Fees and Budget Review 2014-2015</w:t>
                    </w:r>
                    <w:r w:rsidRPr="000E42CF">
                      <w:rPr>
                        <w:rFonts w:ascii="Garamond" w:hAnsi="Garamond"/>
                        <w:color w:val="7F7F7F" w:themeColor="text1" w:themeTint="80"/>
                        <w:vertAlign w:val="superscript"/>
                      </w:rPr>
                      <w:t>©</w:t>
                    </w:r>
                    <w:r w:rsidRPr="00D00102">
                      <w:rPr>
                        <w:rFonts w:ascii="Garamond" w:hAnsi="Garamond"/>
                        <w:color w:val="7F7F7F" w:themeColor="text1" w:themeTint="80"/>
                      </w:rPr>
                      <w:t xml:space="preserve"> | csf.berkeley.edu</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5F4" w:rsidRDefault="003435F4">
      <w:r>
        <w:separator/>
      </w:r>
    </w:p>
  </w:footnote>
  <w:footnote w:type="continuationSeparator" w:id="0">
    <w:p w:rsidR="003435F4" w:rsidRDefault="003435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596" w:rsidRDefault="007C7596">
    <w:pPr>
      <w:jc w:val="right"/>
    </w:pPr>
  </w:p>
  <w:p w:rsidR="007C7596" w:rsidRDefault="007C7596">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B6D" w:rsidRPr="00965B6D" w:rsidRDefault="00965B6D" w:rsidP="00965B6D">
    <w:pPr>
      <w:pStyle w:val="Header"/>
      <w:jc w:val="right"/>
      <w:rPr>
        <w:rFonts w:ascii="Garamond" w:hAnsi="Garamond"/>
      </w:rPr>
    </w:pPr>
    <w:r>
      <w:rPr>
        <w:noProof/>
      </w:rPr>
      <w:drawing>
        <wp:anchor distT="0" distB="0" distL="114300" distR="114300" simplePos="0" relativeHeight="251659264" behindDoc="0" locked="0" layoutInCell="0" hidden="0" allowOverlap="0" wp14:anchorId="23B9983D" wp14:editId="221221FF">
          <wp:simplePos x="0" y="0"/>
          <wp:positionH relativeFrom="margin">
            <wp:posOffset>-69215</wp:posOffset>
          </wp:positionH>
          <wp:positionV relativeFrom="paragraph">
            <wp:posOffset>-65405</wp:posOffset>
          </wp:positionV>
          <wp:extent cx="1089025" cy="1089025"/>
          <wp:effectExtent l="0" t="0" r="0" b="0"/>
          <wp:wrapSquare wrapText="bothSides" distT="0" distB="0" distL="114300" distR="114300"/>
          <wp:docPr id="7" name="image01.png" descr="CSF-Black"/>
          <wp:cNvGraphicFramePr/>
          <a:graphic xmlns:a="http://schemas.openxmlformats.org/drawingml/2006/main">
            <a:graphicData uri="http://schemas.openxmlformats.org/drawingml/2006/picture">
              <pic:pic xmlns:pic="http://schemas.openxmlformats.org/drawingml/2006/picture">
                <pic:nvPicPr>
                  <pic:cNvPr id="0" name="image01.png" descr="CSF-Black"/>
                  <pic:cNvPicPr preferRelativeResize="0"/>
                </pic:nvPicPr>
                <pic:blipFill>
                  <a:blip r:embed="rId1"/>
                  <a:srcRect/>
                  <a:stretch>
                    <a:fillRect/>
                  </a:stretch>
                </pic:blipFill>
                <pic:spPr>
                  <a:xfrm>
                    <a:off x="0" y="0"/>
                    <a:ext cx="1089025" cy="1089025"/>
                  </a:xfrm>
                  <a:prstGeom prst="rect">
                    <a:avLst/>
                  </a:prstGeom>
                  <a:ln/>
                </pic:spPr>
              </pic:pic>
            </a:graphicData>
          </a:graphic>
        </wp:anchor>
      </w:drawing>
    </w:r>
    <w:r w:rsidR="00EC560A">
      <w:rPr>
        <w:rFonts w:ascii="Garamond" w:hAnsi="Garamond"/>
      </w:rPr>
      <w:t>November</w:t>
    </w:r>
    <w:r w:rsidR="00CE684D">
      <w:rPr>
        <w:rFonts w:ascii="Garamond" w:hAnsi="Garamond"/>
      </w:rPr>
      <w:t xml:space="preserve"> 17</w:t>
    </w:r>
    <w:r>
      <w:rPr>
        <w:rFonts w:ascii="Garamond" w:hAnsi="Garamond"/>
      </w:rPr>
      <w:t>,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C7596"/>
    <w:rsid w:val="00064F75"/>
    <w:rsid w:val="000D3B02"/>
    <w:rsid w:val="000E42CF"/>
    <w:rsid w:val="00137DC0"/>
    <w:rsid w:val="001F5792"/>
    <w:rsid w:val="00215EF9"/>
    <w:rsid w:val="00241925"/>
    <w:rsid w:val="00257E31"/>
    <w:rsid w:val="002A0CD7"/>
    <w:rsid w:val="002A46EA"/>
    <w:rsid w:val="002B7D64"/>
    <w:rsid w:val="002C3549"/>
    <w:rsid w:val="003130A3"/>
    <w:rsid w:val="003435F4"/>
    <w:rsid w:val="00384AF5"/>
    <w:rsid w:val="003F5298"/>
    <w:rsid w:val="004139F4"/>
    <w:rsid w:val="004B58D1"/>
    <w:rsid w:val="00501FF0"/>
    <w:rsid w:val="00560889"/>
    <w:rsid w:val="00570F8C"/>
    <w:rsid w:val="005C54A9"/>
    <w:rsid w:val="005E740A"/>
    <w:rsid w:val="0065198E"/>
    <w:rsid w:val="00672F74"/>
    <w:rsid w:val="006C7F5F"/>
    <w:rsid w:val="0072452D"/>
    <w:rsid w:val="007807EC"/>
    <w:rsid w:val="007C7596"/>
    <w:rsid w:val="007D4E10"/>
    <w:rsid w:val="007E3E79"/>
    <w:rsid w:val="008A558D"/>
    <w:rsid w:val="008B0799"/>
    <w:rsid w:val="00925B06"/>
    <w:rsid w:val="00965B6D"/>
    <w:rsid w:val="009A26FB"/>
    <w:rsid w:val="009A64AA"/>
    <w:rsid w:val="009F0B75"/>
    <w:rsid w:val="009F0F40"/>
    <w:rsid w:val="00A13C76"/>
    <w:rsid w:val="00A51037"/>
    <w:rsid w:val="00B4105F"/>
    <w:rsid w:val="00C0708D"/>
    <w:rsid w:val="00C7573E"/>
    <w:rsid w:val="00CE27D7"/>
    <w:rsid w:val="00CE684D"/>
    <w:rsid w:val="00CF2BE6"/>
    <w:rsid w:val="00CF508D"/>
    <w:rsid w:val="00D41CE4"/>
    <w:rsid w:val="00D8723E"/>
    <w:rsid w:val="00DA0ED4"/>
    <w:rsid w:val="00DD58F4"/>
    <w:rsid w:val="00E7178E"/>
    <w:rsid w:val="00EC560A"/>
    <w:rsid w:val="00ED287C"/>
    <w:rsid w:val="00F10862"/>
    <w:rsid w:val="00F37CE5"/>
    <w:rsid w:val="00F46B51"/>
    <w:rsid w:val="00F71865"/>
    <w:rsid w:val="00F8683E"/>
    <w:rsid w:val="00FA716F"/>
    <w:rsid w:val="00FB1AE2"/>
    <w:rsid w:val="00FD3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F0F40"/>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A46EA"/>
    <w:pPr>
      <w:tabs>
        <w:tab w:val="center" w:pos="4680"/>
        <w:tab w:val="right" w:pos="9360"/>
      </w:tabs>
    </w:pPr>
  </w:style>
  <w:style w:type="character" w:customStyle="1" w:styleId="HeaderChar">
    <w:name w:val="Header Char"/>
    <w:basedOn w:val="DefaultParagraphFont"/>
    <w:link w:val="Header"/>
    <w:uiPriority w:val="99"/>
    <w:rsid w:val="002A46EA"/>
  </w:style>
  <w:style w:type="paragraph" w:styleId="Footer">
    <w:name w:val="footer"/>
    <w:basedOn w:val="Normal"/>
    <w:link w:val="FooterChar"/>
    <w:uiPriority w:val="99"/>
    <w:unhideWhenUsed/>
    <w:rsid w:val="002A46EA"/>
    <w:pPr>
      <w:tabs>
        <w:tab w:val="center" w:pos="4680"/>
        <w:tab w:val="right" w:pos="9360"/>
      </w:tabs>
    </w:pPr>
  </w:style>
  <w:style w:type="character" w:customStyle="1" w:styleId="FooterChar">
    <w:name w:val="Footer Char"/>
    <w:basedOn w:val="DefaultParagraphFont"/>
    <w:link w:val="Footer"/>
    <w:uiPriority w:val="99"/>
    <w:rsid w:val="002A46EA"/>
  </w:style>
  <w:style w:type="character" w:styleId="Hyperlink">
    <w:name w:val="Hyperlink"/>
    <w:basedOn w:val="DefaultParagraphFont"/>
    <w:uiPriority w:val="99"/>
    <w:unhideWhenUsed/>
    <w:rsid w:val="00F37C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F0F40"/>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A46EA"/>
    <w:pPr>
      <w:tabs>
        <w:tab w:val="center" w:pos="4680"/>
        <w:tab w:val="right" w:pos="9360"/>
      </w:tabs>
    </w:pPr>
  </w:style>
  <w:style w:type="character" w:customStyle="1" w:styleId="HeaderChar">
    <w:name w:val="Header Char"/>
    <w:basedOn w:val="DefaultParagraphFont"/>
    <w:link w:val="Header"/>
    <w:uiPriority w:val="99"/>
    <w:rsid w:val="002A46EA"/>
  </w:style>
  <w:style w:type="paragraph" w:styleId="Footer">
    <w:name w:val="footer"/>
    <w:basedOn w:val="Normal"/>
    <w:link w:val="FooterChar"/>
    <w:uiPriority w:val="99"/>
    <w:unhideWhenUsed/>
    <w:rsid w:val="002A46EA"/>
    <w:pPr>
      <w:tabs>
        <w:tab w:val="center" w:pos="4680"/>
        <w:tab w:val="right" w:pos="9360"/>
      </w:tabs>
    </w:pPr>
  </w:style>
  <w:style w:type="character" w:customStyle="1" w:styleId="FooterChar">
    <w:name w:val="Footer Char"/>
    <w:basedOn w:val="DefaultParagraphFont"/>
    <w:link w:val="Footer"/>
    <w:uiPriority w:val="99"/>
    <w:rsid w:val="002A46EA"/>
  </w:style>
  <w:style w:type="character" w:styleId="Hyperlink">
    <w:name w:val="Hyperlink"/>
    <w:basedOn w:val="DefaultParagraphFont"/>
    <w:uiPriority w:val="99"/>
    <w:unhideWhenUsed/>
    <w:rsid w:val="00F37C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rac@berkeley.edu"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Unit Director Report -- Cal Performances 2014-15.docx.docx</vt:lpstr>
    </vt:vector>
  </TitlesOfParts>
  <Company>Hewlett-Packard</Company>
  <LinksUpToDate>false</LinksUpToDate>
  <CharactersWithSpaces>4458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Director Report -- Cal Performances 2014-15.docx.docx</dc:title>
  <dc:creator>Joy</dc:creator>
  <cp:lastModifiedBy>Joy</cp:lastModifiedBy>
  <cp:revision>11</cp:revision>
  <dcterms:created xsi:type="dcterms:W3CDTF">2014-12-05T03:27:00Z</dcterms:created>
  <dcterms:modified xsi:type="dcterms:W3CDTF">2014-12-05T03:55:00Z</dcterms:modified>
</cp:coreProperties>
</file>