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MARKING RUBRIC</w:t>
      </w:r>
    </w:p>
    <w:p>
      <w:r>
        <w:t>Course: CS-504 Advanced Enterprise Cloud Systems &amp; Governance</w:t>
      </w:r>
    </w:p>
    <w:p>
      <w:pPr>
        <w:pStyle w:val="Heading2"/>
      </w:pPr>
      <w:r>
        <w:t>Criterion 1: Architectural &amp; Technical Analysis (Weight: 30%)</w:t>
      </w:r>
    </w:p>
    <w:p>
      <w:pPr>
        <w:pStyle w:val="ListBullet"/>
      </w:pPr>
      <w:r>
        <w:t>High Distinction (HD): Exemplary, rigorous comparative analysis of migration patterns with comprehensive quantitative metrics and architectural justification.</w:t>
      </w:r>
    </w:p>
    <w:p>
      <w:pPr>
        <w:pStyle w:val="ListBullet"/>
      </w:pPr>
      <w:r>
        <w:t>Distinction (D): Strong technical analysis evaluating multiple options with clear rationale and minor gaps in numerical trade-off modeling.</w:t>
      </w:r>
    </w:p>
    <w:p>
      <w:pPr>
        <w:pStyle w:val="ListBullet"/>
      </w:pPr>
      <w:r>
        <w:t>Credit (CR): Competent overview of cloud architectures but limited depth in comparing architectural trade-offs.</w:t>
      </w:r>
    </w:p>
    <w:p>
      <w:pPr>
        <w:pStyle w:val="ListBullet"/>
      </w:pPr>
      <w:r>
        <w:t>Pass (P): Superficial description of technologies without substantive architectural justification.</w:t>
      </w:r>
    </w:p>
    <w:p>
      <w:pPr>
        <w:pStyle w:val="Heading2"/>
      </w:pPr>
      <w:r>
        <w:t>Criterion 2: Ethical AI &amp; Data Governance (Weight: 25%)</w:t>
      </w:r>
    </w:p>
    <w:p>
      <w:pPr>
        <w:pStyle w:val="ListBullet"/>
      </w:pPr>
      <w:r>
        <w:t>High Distinction (HD): Thorough integration of international ethical AI standards, proactive algorithmic bias auditing, and sovereign data lifecycle controls.</w:t>
      </w:r>
    </w:p>
    <w:p>
      <w:pPr>
        <w:pStyle w:val="ListBullet"/>
      </w:pPr>
      <w:r>
        <w:t>Distinction (D): Sound ethical analysis identifying key compliance requirements with actionable mitigation strategies.</w:t>
      </w:r>
    </w:p>
    <w:p>
      <w:pPr>
        <w:pStyle w:val="ListBullet"/>
      </w:pPr>
      <w:r>
        <w:t>Credit (CR): General awareness of data privacy and ethical principles without detailed implementation safeguards.</w:t>
      </w:r>
    </w:p>
    <w:p>
      <w:pPr>
        <w:pStyle w:val="ListBullet"/>
      </w:pPr>
      <w:r>
        <w:t>Pass (P): Rudimentary mention of privacy regulations with negligible ethical analysis.</w:t>
      </w:r>
    </w:p>
    <w:p>
      <w:pPr>
        <w:pStyle w:val="Heading2"/>
      </w:pPr>
      <w:r>
        <w:t>Criterion 3: Strategic Implementation &amp; Risk Mitigation (Weight: 25%)</w:t>
      </w:r>
    </w:p>
    <w:p>
      <w:pPr>
        <w:pStyle w:val="ListBullet"/>
      </w:pPr>
      <w:r>
        <w:t>High Distinction (HD): Sophisticated, realistic 12-month phased roadmap with proactive rollback triggers and comprehensive risk governance.</w:t>
      </w:r>
    </w:p>
    <w:p>
      <w:pPr>
        <w:pStyle w:val="ListBullet"/>
      </w:pPr>
      <w:r>
        <w:t>Distinction (D): Clear, practical implementation timeline with well-identified risk categories and mitigation protocols.</w:t>
      </w:r>
    </w:p>
    <w:p>
      <w:pPr>
        <w:pStyle w:val="ListBullet"/>
      </w:pPr>
      <w:r>
        <w:t>Credit (CR): Basic project timeline with generic risks and conventional mitigations.</w:t>
      </w:r>
    </w:p>
    <w:p>
      <w:pPr>
        <w:pStyle w:val="ListBullet"/>
      </w:pPr>
      <w:r>
        <w:t>Pass (P): Unrealistic or vague timeline lacking concrete milestone definitions.</w:t>
      </w:r>
    </w:p>
    <w:p>
      <w:pPr>
        <w:pStyle w:val="Heading2"/>
      </w:pPr>
      <w:r>
        <w:t>Criterion 4: Academic Rigour &amp; Professional Communication (Weight: 20%)</w:t>
      </w:r>
    </w:p>
    <w:p>
      <w:pPr>
        <w:pStyle w:val="ListBullet"/>
      </w:pPr>
      <w:r>
        <w:t>High Distinction (HD): Impeccable academic prose, coherent synthesis, and flawless citation of authoritative sources adhering to IEEE style.</w:t>
      </w:r>
    </w:p>
    <w:p>
      <w:pPr>
        <w:pStyle w:val="ListBullet"/>
      </w:pPr>
      <w:r>
        <w:t>Distinction (D): Well-structured, professional report with consistent academic referencing and minor formatting flaws.</w:t>
      </w:r>
    </w:p>
    <w:p>
      <w:pPr>
        <w:pStyle w:val="ListBullet"/>
      </w:pPr>
      <w:r>
        <w:t>Credit (CR): Readable report with adequate referencing but inconsistent terminology or flow.</w:t>
      </w:r>
    </w:p>
    <w:p>
      <w:pPr>
        <w:pStyle w:val="ListBullet"/>
      </w:pPr>
      <w:r>
        <w:t>Pass (P): Disorganized structure, informal tone, or frequent citation inaccuracies.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