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SPECIFICATION</w:t>
      </w:r>
    </w:p>
    <w:p>
      <w:r>
        <w:t>Course: CS-504 Advanced Enterprise Cloud Systems &amp; Governance</w:t>
      </w:r>
    </w:p>
    <w:p>
      <w:r>
        <w:t>Assignment 2: Cloud Migration Strategy &amp; Ethical AI Governance</w:t>
      </w:r>
    </w:p>
    <w:p>
      <w:r>
        <w:t>Weight: 40% | Format: IEEE Style (2,250 - 2,750 words)</w:t>
      </w:r>
    </w:p>
    <w:p>
      <w:pPr>
        <w:pStyle w:val="Heading2"/>
      </w:pPr>
      <w:r>
        <w:t>1. Executive Context &amp; Objective</w:t>
      </w:r>
    </w:p>
    <w:p>
      <w:r>
        <w:t>Global Retail Dynamics (GRD) operates an on-premises monolithic e-commerce and inventory platform.</w:t>
      </w:r>
    </w:p>
    <w:p>
      <w:r>
        <w:t>Students are required to design an enterprise cloud migration architecture and ethical governance proposal for GRD's transition to modern cloud infrastructure.</w:t>
      </w:r>
    </w:p>
    <w:p>
      <w:pPr>
        <w:pStyle w:val="Heading2"/>
      </w:pPr>
      <w:r>
        <w:t>2. Mandatory Assignment Requirements</w:t>
      </w:r>
    </w:p>
    <w:p>
      <w:r>
        <w:t>Students must adhere strictly to the following requirements:</w:t>
      </w:r>
    </w:p>
    <w:p>
      <w:pPr>
        <w:pStyle w:val="ListBullet"/>
      </w:pPr>
      <w:r>
        <w:t>Requirement R1 (Architectural Options): Formulate an enterprise cloud migration strategy evaluating at least two distinct architectural options (such as containerized Kubernetes microservices versus serverless event-driven architecture).</w:t>
      </w:r>
    </w:p>
    <w:p>
      <w:pPr>
        <w:pStyle w:val="ListBullet"/>
      </w:pPr>
      <w:r>
        <w:t>Requirement R2 (Comparative Trade-off Analysis): Include a comparative trade-off matrix analyzing capital expenditure versus operational expenditure, latency bounds under peak concurrency, and disaster recovery RPO/RTO.</w:t>
      </w:r>
    </w:p>
    <w:p>
      <w:pPr>
        <w:pStyle w:val="ListBullet"/>
      </w:pPr>
      <w:r>
        <w:t>Requirement R3 (Ethical AI &amp; Data Governance): Establish a comprehensive ethical AI and data governance framework addressing customer data privacy (GDPR compliance), cross-border data sovereignty, and proactive bias auditing in automated recommendation algorithms.</w:t>
      </w:r>
    </w:p>
    <w:p>
      <w:pPr>
        <w:pStyle w:val="ListBullet"/>
      </w:pPr>
      <w:r>
        <w:t>Requirement R4 (Phased Roadmap): Deliver a realistic, phased 12-month implementation timeline with staged risk mitigations and explicit rollback trigger criteria.</w:t>
      </w:r>
    </w:p>
    <w:p>
      <w:pPr>
        <w:pStyle w:val="ListBullet"/>
      </w:pPr>
      <w:r>
        <w:t>Requirement R5 (Formatting &amp; References): The report must follow IEEE citation conventions, adhere to 2,500 words (+/- 10%), and cite at least 8 peer-reviewed or industry-standard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