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00" w:before="40" w:line="240" w:lineRule="auto"/>
        <w:ind w:left="0" w:right="0" w:firstLine="0"/>
        <w:jc w:val="center"/>
        <w:rPr>
          <w:rFonts w:ascii="Linux Biolinum" w:cs="Linux Biolinum" w:eastAsia="Linux Biolinum" w:hAnsi="Linux Biolinum"/>
          <w:b w:val="1"/>
          <w:color w:val="000000"/>
          <w:sz w:val="35"/>
          <w:szCs w:val="35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Caracterização da Depressão em Adultos de Meia-Idade Utilizando Machine Learning e o Método CAPTO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before="120" w:line="264" w:lineRule="auto"/>
        <w:ind w:left="0" w:right="0" w:firstLine="0"/>
        <w:jc w:val="center"/>
        <w:rPr>
          <w:rFonts w:ascii="Linux Biolinum" w:cs="Linux Biolinum" w:eastAsia="Linux Biolinum" w:hAnsi="Linux Biolinum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280" w:line="240" w:lineRule="auto"/>
        <w:ind w:left="0" w:right="0" w:firstLine="0"/>
        <w:jc w:val="center"/>
        <w:rPr>
          <w:rFonts w:ascii="Linux Libertine" w:cs="Linux Libertine" w:eastAsia="Linux Libertine" w:hAnsi="Linux Libertine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280" w:line="240" w:lineRule="auto"/>
        <w:ind w:left="0" w:righ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Pedro Henrique Rodrigues da Silva</w:t>
      </w:r>
      <w:r w:rsidDel="00000000" w:rsidR="00000000" w:rsidRPr="00000000">
        <w:rPr>
          <w:color w:val="000000"/>
          <w:sz w:val="22"/>
          <w:szCs w:val="22"/>
          <w:shd w:fill="auto" w:val="clear"/>
          <w:vertAlign w:val="superscript"/>
          <w:rtl w:val="0"/>
        </w:rPr>
        <w:t xml:space="preserve">†</w:t>
      </w: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br w:type="textWrapping"/>
        <w:t xml:space="preserve">Pontifícia Universidade Católica de Minas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280" w:line="240" w:lineRule="auto"/>
        <w:ind w:left="0" w:righ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Betim, Minas Gerais, Brasil</w:t>
      </w: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br w:type="textWrapping"/>
        <w:t xml:space="preserve">1429338@sga.pucminas.br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280" w:line="240" w:lineRule="auto"/>
        <w:ind w:left="0" w:right="0" w:firstLine="0"/>
        <w:jc w:val="center"/>
        <w:rPr>
          <w:rFonts w:ascii="Linux Libertine" w:cs="Linux Libertine" w:eastAsia="Linux Libertine" w:hAnsi="Linux Libertine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0" w:line="276" w:lineRule="auto"/>
        <w:ind w:left="0" w:right="0" w:firstLine="0"/>
        <w:jc w:val="both"/>
        <w:rPr>
          <w:rFonts w:ascii="Cambria Math" w:cs="Cambria Math" w:eastAsia="Cambria Math" w:hAnsi="Cambria Math"/>
          <w:color w:val="000000"/>
          <w:sz w:val="20"/>
          <w:szCs w:val="20"/>
          <w:shd w:fill="auto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80" w:before="120" w:line="240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color w:val="ff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80" w:before="120" w:line="240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color w:val="ff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80" w:before="120" w:line="240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color w:val="ff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color w:val="ff0000"/>
          <w:sz w:val="22"/>
          <w:szCs w:val="22"/>
          <w:shd w:fill="auto" w:val="clear"/>
          <w:vertAlign w:val="baseline"/>
          <w:rtl w:val="0"/>
        </w:rPr>
        <w:t xml:space="preserve">ABSTRACT</w:t>
      </w:r>
    </w:p>
    <w:p w:rsidR="00000000" w:rsidDel="00000000" w:rsidP="00000000" w:rsidRDefault="00000000" w:rsidRPr="00000000" w14:paraId="0000000C">
      <w:pPr>
        <w:spacing w:after="120" w:before="2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2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ff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color w:val="ff0000"/>
          <w:sz w:val="18"/>
          <w:szCs w:val="18"/>
          <w:shd w:fill="auto" w:val="clear"/>
          <w:vertAlign w:val="baseline"/>
          <w:rtl w:val="0"/>
        </w:rPr>
        <w:t xml:space="preserve">Coloque aqui o resumo do trabalho. Inicie contextualizando o problema, fale os objetivos, a metodologia utilizada e os resultaods obtidos. É um resumo objetivo, mas que precisa contra toda a história realizada.</w:t>
      </w:r>
    </w:p>
    <w:p w:rsidR="00000000" w:rsidDel="00000000" w:rsidP="00000000" w:rsidRDefault="00000000" w:rsidRPr="00000000" w14:paraId="0000000E">
      <w:pPr>
        <w:spacing w:after="20" w:before="200" w:line="240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" w:before="200" w:line="240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KEYWORDS</w:t>
      </w:r>
    </w:p>
    <w:p w:rsidR="00000000" w:rsidDel="00000000" w:rsidP="00000000" w:rsidRDefault="00000000" w:rsidRPr="00000000" w14:paraId="00000010">
      <w:pPr>
        <w:spacing w:after="60" w:before="6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  <w:rtl w:val="0"/>
        </w:rPr>
        <w:t xml:space="preserve">Coloque as palavras chaves aqui.</w:t>
      </w:r>
    </w:p>
    <w:p w:rsidR="00000000" w:rsidDel="00000000" w:rsidP="00000000" w:rsidRDefault="00000000" w:rsidRPr="00000000" w14:paraId="00000011">
      <w:pPr>
        <w:spacing w:after="0" w:before="220" w:line="264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color w:val="000000"/>
          <w:sz w:val="16"/>
          <w:szCs w:val="16"/>
          <w:shd w:fill="auto" w:val="clear"/>
          <w:vertAlign w:val="baseline"/>
          <w:rtl w:val="0"/>
        </w:rPr>
        <w:t xml:space="preserve">ACM Reference format:</w:t>
      </w:r>
    </w:p>
    <w:p w:rsidR="00000000" w:rsidDel="00000000" w:rsidP="00000000" w:rsidRDefault="00000000" w:rsidRPr="00000000" w14:paraId="00000012">
      <w:pPr>
        <w:spacing w:after="60" w:before="6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color w:val="000000"/>
          <w:sz w:val="16"/>
          <w:szCs w:val="16"/>
          <w:shd w:fill="auto" w:val="clear"/>
          <w:vertAlign w:val="baseline"/>
          <w:rtl w:val="0"/>
        </w:rPr>
        <w:t xml:space="preserve">FirstName Surname, FirstName Surname and FirstName Surname. 2018. Insert Your Title Here: Insert Subtitle Here. In </w:t>
      </w:r>
      <w:r w:rsidDel="00000000" w:rsidR="00000000" w:rsidRPr="00000000">
        <w:rPr>
          <w:rFonts w:ascii="Linux Libertine" w:cs="Linux Libertine" w:eastAsia="Linux Libertine" w:hAnsi="Linux Libertine"/>
          <w:i w:val="1"/>
          <w:color w:val="000000"/>
          <w:sz w:val="16"/>
          <w:szCs w:val="16"/>
          <w:shd w:fill="auto" w:val="clear"/>
          <w:vertAlign w:val="baseline"/>
          <w:rtl w:val="0"/>
        </w:rPr>
        <w:t xml:space="preserve">Proceedings of ACM Woodstock conference (WOODSTOCK’18). ACM, New York, NY, USA, 2 pages.</w:t>
      </w:r>
      <w:r w:rsidDel="00000000" w:rsidR="00000000" w:rsidRPr="00000000">
        <w:rPr>
          <w:rFonts w:ascii="Linux Libertine" w:cs="Linux Libertine" w:eastAsia="Linux Libertine" w:hAnsi="Linux Libertine"/>
          <w:color w:val="000000"/>
          <w:sz w:val="16"/>
          <w:szCs w:val="16"/>
          <w:shd w:fill="auto" w:val="clear"/>
          <w:vertAlign w:val="baseline"/>
          <w:rtl w:val="0"/>
        </w:rPr>
        <w:t xml:space="preserve"> </w:t>
      </w:r>
      <w:hyperlink r:id="rId6">
        <w:r w:rsidDel="00000000" w:rsidR="00000000" w:rsidRPr="00000000">
          <w:rPr>
            <w:rFonts w:ascii="Linux Libertine" w:cs="Linux Libertine" w:eastAsia="Linux Libertine" w:hAnsi="Linux Libertine"/>
            <w:color w:val="0000ff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https://doi.org/10.1145/1234567890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color w:val="000000"/>
          <w:sz w:val="22"/>
          <w:szCs w:val="22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 Introdução</w:t>
      </w:r>
    </w:p>
    <w:p w:rsidR="00000000" w:rsidDel="00000000" w:rsidP="00000000" w:rsidRDefault="00000000" w:rsidRPr="00000000" w14:paraId="00000014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  <w:rtl w:val="0"/>
        </w:rPr>
        <w:t xml:space="preserve">Faça uma pequena introdução, falando do contexto do trabalho e quais os seus objetivos.</w:t>
      </w:r>
    </w:p>
    <w:p w:rsidR="00000000" w:rsidDel="00000000" w:rsidP="00000000" w:rsidRDefault="00000000" w:rsidRPr="00000000" w14:paraId="00000015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  <w:rtl w:val="0"/>
        </w:rPr>
        <w:t xml:space="preserve">O seu problema é sobre cancer? Fale um pouco sobre câncer. Use referências bibliográficas..</w:t>
      </w:r>
    </w:p>
    <w:p w:rsidR="00000000" w:rsidDel="00000000" w:rsidP="00000000" w:rsidRDefault="00000000" w:rsidRPr="00000000" w14:paraId="00000016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  <w:rtl w:val="0"/>
        </w:rPr>
        <w:t xml:space="preserve">Lembre-se: a contextualização do problema é importante para a compreensão do que será lido depois.</w:t>
      </w:r>
    </w:p>
    <w:p w:rsidR="00000000" w:rsidDel="00000000" w:rsidP="00000000" w:rsidRDefault="00000000" w:rsidRPr="00000000" w14:paraId="00000017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  <w:rtl w:val="0"/>
        </w:rPr>
        <w:t xml:space="preserve">Tem dúvida sobre isso: veja os artigos que coloquei no CANVAS para vocês se basearem. A Figura 1 mostra estes artigos que estão no CANVAS.</w:t>
      </w:r>
    </w:p>
    <w:p w:rsidR="00000000" w:rsidDel="00000000" w:rsidP="00000000" w:rsidRDefault="00000000" w:rsidRPr="00000000" w14:paraId="00000018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color w:val="000000"/>
          <w:sz w:val="18"/>
          <w:szCs w:val="18"/>
          <w:shd w:fill="auto" w:val="clear"/>
          <w:vertAlign w:val="baseline"/>
          <w:rtl w:val="0"/>
        </w:rPr>
        <w:t xml:space="preserve">Figura 1 – Artigos no CANVAS para vocês se basearem</w:t>
      </w:r>
    </w:p>
    <w:p w:rsidR="00000000" w:rsidDel="00000000" w:rsidP="00000000" w:rsidRDefault="00000000" w:rsidRPr="00000000" w14:paraId="0000001B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2225040" cy="66802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239830" y="3452340"/>
                          <a:ext cx="2212340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2225040" cy="668020"/>
                <wp:effectExtent b="0" l="0" r="0" t="0"/>
                <wp:docPr id="1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5040" cy="6680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2212340" cy="655320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65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  <w:rtl w:val="0"/>
        </w:rPr>
        <w:t xml:space="preserve">Estes artigos ajudarão vocês a fazerem o restante do trabalho também. Então, deem uma olhada neles com carinho.</w:t>
      </w:r>
    </w:p>
    <w:p w:rsidR="00000000" w:rsidDel="00000000" w:rsidP="00000000" w:rsidRDefault="00000000" w:rsidRPr="00000000" w14:paraId="00000020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80" w:before="380" w:line="240" w:lineRule="auto"/>
        <w:ind w:left="280" w:right="0" w:hanging="280"/>
        <w:jc w:val="both"/>
        <w:rPr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b w:val="1"/>
          <w:sz w:val="22"/>
          <w:szCs w:val="22"/>
          <w:rtl w:val="0"/>
        </w:rPr>
        <w:t xml:space="preserve">. </w:t>
      </w:r>
      <w:r w:rsidDel="00000000" w:rsidR="00000000" w:rsidRPr="00000000">
        <w:rPr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Descrição da base de dados</w:t>
      </w:r>
    </w:p>
    <w:p w:rsidR="00000000" w:rsidDel="00000000" w:rsidP="00000000" w:rsidRDefault="00000000" w:rsidRPr="00000000" w14:paraId="00000022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A pesquisa conduzida em 2019 pela Pesquisa Nacional de Saúde é a fonte primária deste estudo, fornecendo uma rica coleção de dados relacionados à saúde, comportamentos e condições socioeconômicas. Esses dados abrangem uma amostra representativa da população, oferecendo insights valiosos para análises profundas e abrangentes.</w:t>
      </w:r>
    </w:p>
    <w:p w:rsidR="00000000" w:rsidDel="00000000" w:rsidP="00000000" w:rsidRDefault="00000000" w:rsidRPr="00000000" w14:paraId="00000024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Descrição Detalhada da Base de Dados:</w:t>
      </w:r>
    </w:p>
    <w:p w:rsidR="00000000" w:rsidDel="00000000" w:rsidP="00000000" w:rsidRDefault="00000000" w:rsidRPr="00000000" w14:paraId="00000026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Compreendendo a dimensão e a complexidade da pesquisa, é crucial destacar a meticulosa seleção e preparação dos dados. A base de dados original apresenta uma amplitude considerável, com 293.726 registros e 1.087 atributos. Utilizando uma abordagem cuidadosa de pré-processamento, empregamos o método CAPTO para reduzir essa vasta extensão para 40.359 entradas e 138 atributos relevantes para nossa investigação.</w:t>
      </w:r>
    </w:p>
    <w:p w:rsidR="00000000" w:rsidDel="00000000" w:rsidP="00000000" w:rsidRDefault="00000000" w:rsidRPr="00000000" w14:paraId="00000028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Dimensão: Características do Indivíduo</w:t>
      </w:r>
    </w:p>
    <w:p w:rsidR="00000000" w:rsidDel="00000000" w:rsidP="00000000" w:rsidRDefault="00000000" w:rsidRPr="00000000" w14:paraId="0000002A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Nesta categoria, encontram-se detalhes demográficos e informações pessoais dos participantes:</w:t>
      </w:r>
    </w:p>
    <w:p w:rsidR="00000000" w:rsidDel="00000000" w:rsidP="00000000" w:rsidRDefault="00000000" w:rsidRPr="00000000" w14:paraId="0000002C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Sexo (C006): Define a categoria de gênero do indivíduo.</w:t>
      </w:r>
    </w:p>
    <w:p w:rsidR="00000000" w:rsidDel="00000000" w:rsidP="00000000" w:rsidRDefault="00000000" w:rsidRPr="00000000" w14:paraId="0000002E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Data de Nascimento (C00702 e C00703): Registrando mês e ano de nascimento para cálculos de idade.</w:t>
      </w:r>
    </w:p>
    <w:p w:rsidR="00000000" w:rsidDel="00000000" w:rsidP="00000000" w:rsidRDefault="00000000" w:rsidRPr="00000000" w14:paraId="0000002F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Idade (C008): Reflete a idade do respondente na data de referência da pesquisa.</w:t>
      </w:r>
    </w:p>
    <w:p w:rsidR="00000000" w:rsidDel="00000000" w:rsidP="00000000" w:rsidRDefault="00000000" w:rsidRPr="00000000" w14:paraId="00000030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Dimensão: Fatores Sociais e Ambientais</w:t>
      </w:r>
    </w:p>
    <w:p w:rsidR="00000000" w:rsidDel="00000000" w:rsidP="00000000" w:rsidRDefault="00000000" w:rsidRPr="00000000" w14:paraId="00000032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Essa seção destina-se a capturar elementos socioeconômicos e ambientais influentes na saúde:</w:t>
      </w:r>
    </w:p>
    <w:p w:rsidR="00000000" w:rsidDel="00000000" w:rsidP="00000000" w:rsidRDefault="00000000" w:rsidRPr="00000000" w14:paraId="00000034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Rede de Apoio Social (M01401 e M01501): Avalia o suporte familiar e de amigos em momentos críticos.</w:t>
      </w:r>
    </w:p>
    <w:p w:rsidR="00000000" w:rsidDel="00000000" w:rsidP="00000000" w:rsidRDefault="00000000" w:rsidRPr="00000000" w14:paraId="00000036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Rendimento e Receita (E0160X, E0180X): Detalha a origem e natureza dos ganhos financeiros dos participantes.</w:t>
      </w:r>
    </w:p>
    <w:p w:rsidR="00000000" w:rsidDel="00000000" w:rsidP="00000000" w:rsidRDefault="00000000" w:rsidRPr="00000000" w14:paraId="00000037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Acesso a Recursos de Saúde (F001021, F007021, F008021): Indicações de benefícios previdenciários, pensões, aluguéis, entre outros.</w:t>
      </w:r>
    </w:p>
    <w:p w:rsidR="00000000" w:rsidDel="00000000" w:rsidP="00000000" w:rsidRDefault="00000000" w:rsidRPr="00000000" w14:paraId="00000038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Dimensão: Hábitos de Saúde</w:t>
      </w:r>
    </w:p>
    <w:p w:rsidR="00000000" w:rsidDel="00000000" w:rsidP="00000000" w:rsidRDefault="00000000" w:rsidRPr="00000000" w14:paraId="0000003A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Este segmento concentra-se nos comportamentos e práticas relacionados à saúde:</w:t>
      </w:r>
    </w:p>
    <w:p w:rsidR="00000000" w:rsidDel="00000000" w:rsidP="00000000" w:rsidRDefault="00000000" w:rsidRPr="00000000" w14:paraId="0000003C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Atividade Física (P034, P035, P03701, P03702): Informa sobre a frequência e duração da prática de exercícios físicos.</w:t>
      </w:r>
    </w:p>
    <w:p w:rsidR="00000000" w:rsidDel="00000000" w:rsidP="00000000" w:rsidRDefault="00000000" w:rsidRPr="00000000" w14:paraId="0000003E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Consumo de Álcool (P027, P02801, P029): Avalia os padrões de ingestão de bebidas alcoólicas.</w:t>
      </w:r>
    </w:p>
    <w:p w:rsidR="00000000" w:rsidDel="00000000" w:rsidP="00000000" w:rsidRDefault="00000000" w:rsidRPr="00000000" w14:paraId="0000003F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Padrões Alimentares (P0060X, P00901, P01001, P01101, P013, P015, P018, P019, P0200X, P0210X, P023, P02401, P02501, P02602, P02601): Detalha a frequência e tipos de alimentos consumidos.</w:t>
      </w:r>
    </w:p>
    <w:p w:rsidR="00000000" w:rsidDel="00000000" w:rsidP="00000000" w:rsidRDefault="00000000" w:rsidRPr="00000000" w14:paraId="00000040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Dimensão: Antropometria</w:t>
      </w:r>
    </w:p>
    <w:p w:rsidR="00000000" w:rsidDel="00000000" w:rsidP="00000000" w:rsidRDefault="00000000" w:rsidRPr="00000000" w14:paraId="00000042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Essa dimensão apresenta informações antropométricas cruciais, como altura e peso:</w:t>
      </w:r>
    </w:p>
    <w:p w:rsidR="00000000" w:rsidDel="00000000" w:rsidP="00000000" w:rsidRDefault="00000000" w:rsidRPr="00000000" w14:paraId="00000044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Altura e Peso (P00102, P00402, P00403, P00103, P00104, W00101, W00102, W00201, W00202): Fornecem dados precisos sobre as medidas físicas dos participantes.</w:t>
      </w:r>
    </w:p>
    <w:p w:rsidR="00000000" w:rsidDel="00000000" w:rsidP="00000000" w:rsidRDefault="00000000" w:rsidRPr="00000000" w14:paraId="00000046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- Índices de Massa Corporal (IMC): Calculados a partir das medidas de altura e peso, fornecendo uma visão da saúde física dos entrevistados.</w:t>
      </w:r>
    </w:p>
    <w:p w:rsidR="00000000" w:rsidDel="00000000" w:rsidP="00000000" w:rsidRDefault="00000000" w:rsidRPr="00000000" w14:paraId="00000047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Outras Dimensões</w:t>
      </w:r>
    </w:p>
    <w:p w:rsidR="00000000" w:rsidDel="00000000" w:rsidP="00000000" w:rsidRDefault="00000000" w:rsidRPr="00000000" w14:paraId="00000049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Ademais, a base de dados contém uma ampla gama de informações sobre diagnósticos médicos, tratamentos de saúde, condições habitacionais, acesso a serviços de saúde, entre outros aspectos relevantes para o estudo e análise aprofundada.</w:t>
      </w:r>
    </w:p>
    <w:p w:rsidR="00000000" w:rsidDel="00000000" w:rsidP="00000000" w:rsidRDefault="00000000" w:rsidRPr="00000000" w14:paraId="0000004B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64" w:lineRule="auto"/>
        <w:ind w:left="0" w:right="0" w:firstLine="0"/>
        <w:jc w:val="both"/>
        <w:rPr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000000"/>
          <w:sz w:val="22"/>
          <w:szCs w:val="22"/>
          <w:shd w:fill="auto" w:val="clear"/>
          <w:vertAlign w:val="baseline"/>
          <w:rtl w:val="0"/>
        </w:rPr>
        <w:t xml:space="preserve">Essa descrição abrangente da estrutura da base de dados, suas dimensões e conteúdos, proporciona uma base sólida para a condução de análises robustas e a extração de insights significativos para o avanço do conhecimento na área da saúde pública.</w:t>
      </w:r>
    </w:p>
    <w:p w:rsidR="00000000" w:rsidDel="00000000" w:rsidP="00000000" w:rsidRDefault="00000000" w:rsidRPr="00000000" w14:paraId="0000004D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64" w:lineRule="auto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391001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64" w:lineRule="auto"/>
        <w:ind w:left="0" w:right="0" w:firstLine="0"/>
        <w:jc w:val="both"/>
        <w:rPr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color w:val="000000"/>
          <w:sz w:val="18"/>
          <w:szCs w:val="18"/>
          <w:shd w:fill="auto" w:val="clear"/>
          <w:vertAlign w:val="baseline"/>
          <w:rtl w:val="0"/>
        </w:rPr>
        <w:t xml:space="preserve">Figura 1 </w:t>
      </w:r>
      <w:r w:rsidDel="00000000" w:rsidR="00000000" w:rsidRPr="00000000">
        <w:rPr>
          <w:color w:val="000000"/>
          <w:sz w:val="18"/>
          <w:szCs w:val="18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color w:val="000000"/>
          <w:sz w:val="18"/>
          <w:szCs w:val="18"/>
          <w:shd w:fill="auto" w:val="clear"/>
          <w:vertAlign w:val="baseline"/>
          <w:rtl w:val="0"/>
        </w:rPr>
        <w:t xml:space="preserve"> Descrição dos Atributos da Base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80" w:before="380" w:line="240" w:lineRule="auto"/>
        <w:ind w:left="280" w:right="0" w:hanging="280"/>
        <w:jc w:val="both"/>
        <w:rPr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b w:val="1"/>
          <w:sz w:val="22"/>
          <w:szCs w:val="22"/>
          <w:rtl w:val="0"/>
        </w:rPr>
        <w:t xml:space="preserve">. </w:t>
      </w:r>
      <w:r w:rsidDel="00000000" w:rsidR="00000000" w:rsidRPr="00000000">
        <w:rPr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Etapas de pré-processamento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80" w:before="380" w:lineRule="auto"/>
        <w:ind w:left="72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Bibliotecas Utilizadas</w:t>
      </w:r>
    </w:p>
    <w:p w:rsidR="00000000" w:rsidDel="00000000" w:rsidP="00000000" w:rsidRDefault="00000000" w:rsidRPr="00000000" w14:paraId="00000053">
      <w:pPr>
        <w:spacing w:after="80" w:before="380" w:lineRule="auto"/>
        <w:ind w:left="0" w:firstLine="72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As principais bibliotecas utilizadas nesta etapa são:</w:t>
      </w:r>
    </w:p>
    <w:p w:rsidR="00000000" w:rsidDel="00000000" w:rsidP="00000000" w:rsidRDefault="00000000" w:rsidRPr="00000000" w14:paraId="00000054">
      <w:pPr>
        <w:spacing w:after="80" w:before="380" w:lineRule="auto"/>
        <w:ind w:left="28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380" w:lineRule="auto"/>
        <w:ind w:left="72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Sidetable: Auxilia na identificação rápida de valores faltantes e frequências de valores categóricos.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Pandas Profiling: Faz uma análise exploratória automática dos dados, gerando insights sobre problemas nos dados.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NumPy: Biblioteca fundamental para computação científica em Python.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Pandas: Biblioteca popular para análise de dados.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Seaborn / Matplotlib: Utilizadas para visualização de dados.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Missingno: Facilita a plotagem de dados faltantes.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80" w:before="0" w:beforeAutospacing="0" w:lineRule="auto"/>
        <w:ind w:left="72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IPython Widgets: Permite interatividade.</w:t>
      </w:r>
    </w:p>
    <w:p w:rsidR="00000000" w:rsidDel="00000000" w:rsidP="00000000" w:rsidRDefault="00000000" w:rsidRPr="00000000" w14:paraId="0000005C">
      <w:pPr>
        <w:spacing w:after="80" w:before="380" w:lineRule="auto"/>
        <w:ind w:left="28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Essas bibliotecas forneceram as ferramentas necessárias para realizar as análises e o pré-processamento dos dados de forma eficiente e eficaz.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80" w:before="380" w:lineRule="auto"/>
        <w:ind w:left="72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Remoção de Atributos Duplicados:</w:t>
      </w:r>
    </w:p>
    <w:p w:rsidR="00000000" w:rsidDel="00000000" w:rsidP="00000000" w:rsidRDefault="00000000" w:rsidRPr="00000000" w14:paraId="0000005E">
      <w:pPr>
        <w:spacing w:after="80" w:before="380" w:lineRule="auto"/>
        <w:ind w:left="72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2430766</wp:posOffset>
            </wp:positionV>
            <wp:extent cx="5943600" cy="2476500"/>
            <wp:effectExtent b="0" l="0" r="0" t="0"/>
            <wp:wrapTopAndBottom distB="114300" distT="11430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142875</wp:posOffset>
            </wp:positionV>
            <wp:extent cx="5943600" cy="1879600"/>
            <wp:effectExtent b="0" l="0" r="0" t="0"/>
            <wp:wrapTopAndBottom distB="114300" distT="11430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80" w:before="380" w:line="240" w:lineRule="auto"/>
        <w:ind w:left="72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80" w:before="380" w:line="240" w:lineRule="auto"/>
        <w:ind w:left="720" w:right="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Consolidando Colunas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653442</wp:posOffset>
            </wp:positionV>
            <wp:extent cx="5943600" cy="2120900"/>
            <wp:effectExtent b="0" l="0" r="0" t="0"/>
            <wp:wrapTopAndBottom distB="114300" distT="11430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spacing w:after="80" w:before="380" w:line="240" w:lineRule="auto"/>
        <w:ind w:left="72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114300</wp:posOffset>
            </wp:positionV>
            <wp:extent cx="5943600" cy="1993900"/>
            <wp:effectExtent b="0" l="0" r="0" t="0"/>
            <wp:wrapTopAndBottom distB="114300" distT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after="80" w:before="380" w:line="240" w:lineRule="auto"/>
        <w:ind w:left="72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180975</wp:posOffset>
            </wp:positionV>
            <wp:extent cx="5943600" cy="2565400"/>
            <wp:effectExtent b="0" l="0" r="0" t="0"/>
            <wp:wrapTopAndBottom distB="114300" distT="11430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180975</wp:posOffset>
            </wp:positionV>
            <wp:extent cx="5943600" cy="1993900"/>
            <wp:effectExtent b="0" l="0" r="0" t="0"/>
            <wp:wrapTopAndBottom distB="114300" distT="11430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2247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2590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1308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2590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17526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2514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24130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25273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80" w:before="380" w:line="240" w:lineRule="auto"/>
        <w:ind w:left="720" w:right="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Removendo Colunas Irrelevantes:  </w:t>
      </w:r>
    </w:p>
    <w:p w:rsidR="00000000" w:rsidDel="00000000" w:rsidP="00000000" w:rsidRDefault="00000000" w:rsidRPr="00000000" w14:paraId="00000070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1117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2"/>
          <w:szCs w:val="22"/>
        </w:rPr>
        <w:drawing>
          <wp:inline distB="114300" distT="114300" distL="114300" distR="114300">
            <wp:extent cx="5943600" cy="13081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2133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before="0" w:line="264" w:lineRule="auto"/>
        <w:ind w:left="720" w:right="0" w:hanging="36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Removendo Valores Nulos: </w:t>
      </w:r>
    </w:p>
    <w:p w:rsidR="00000000" w:rsidDel="00000000" w:rsidP="00000000" w:rsidRDefault="00000000" w:rsidRPr="00000000" w14:paraId="00000076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24765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24130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12192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21336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8382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17907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3606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2908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1193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18161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13716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2603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15875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2857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26543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30226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="264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264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264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avaliação dos resultados apresentados indica que a acurácia para preenchimento das colunas numéricas e categóricas foi de 100%. Isso sugere que o processo de imputação de dados ausentes utilizando moda para colunas categóricas e o algoritmo KNN para colunas numéricas obteve resultados muito bons.</w:t>
      </w:r>
    </w:p>
    <w:p w:rsidR="00000000" w:rsidDel="00000000" w:rsidP="00000000" w:rsidRDefault="00000000" w:rsidRPr="00000000" w14:paraId="00000096">
      <w:pPr>
        <w:spacing w:after="0" w:before="0" w:line="264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264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 uma acurácia de 100% para todas as variáveis, podemos inferir que o processo de imputação foi bem-sucedido e que os valores ausentes foram preenchidos de forma precisa e eficiente. Isso é importante para garantir a qualidade dos dados e evitar viés nos resultados das análises posteriores.</w:t>
      </w:r>
    </w:p>
    <w:p w:rsidR="00000000" w:rsidDel="00000000" w:rsidP="00000000" w:rsidRDefault="00000000" w:rsidRPr="00000000" w14:paraId="00000098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0" w:before="0" w:line="264" w:lineRule="auto"/>
        <w:ind w:left="720" w:right="0" w:hanging="360"/>
        <w:jc w:val="both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Balanceamento dos dados </w:t>
      </w:r>
    </w:p>
    <w:p w:rsidR="00000000" w:rsidDel="00000000" w:rsidP="00000000" w:rsidRDefault="00000000" w:rsidRPr="00000000" w14:paraId="0000009A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9431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1684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equilibrar os dados, utilizamos o método de oversampling com a técnica RandomOverSampler, implementada pela biblioteca imbalanced-learn (imblearn). Abaixo está uma explicação detalhada do processo:</w:t>
      </w:r>
    </w:p>
    <w:p w:rsidR="00000000" w:rsidDel="00000000" w:rsidP="00000000" w:rsidRDefault="00000000" w:rsidRPr="00000000" w14:paraId="0000009E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line="264" w:lineRule="auto"/>
        <w:ind w:left="72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Equilíbrio dos Dados usando RandomOverSampler</w:t>
      </w:r>
    </w:p>
    <w:p w:rsidR="00000000" w:rsidDel="00000000" w:rsidP="00000000" w:rsidRDefault="00000000" w:rsidRPr="00000000" w14:paraId="000000A0">
      <w:pPr>
        <w:spacing w:line="264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line="264" w:lineRule="auto"/>
        <w:ind w:left="72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Importação da Biblioteca: Utilizamos a biblioteca imbalanced-learn para implementar a técnica de oversampling.</w:t>
      </w:r>
    </w:p>
    <w:p w:rsidR="00000000" w:rsidDel="00000000" w:rsidP="00000000" w:rsidRDefault="00000000" w:rsidRPr="00000000" w14:paraId="000000A2">
      <w:pPr>
        <w:spacing w:line="264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line="264" w:lineRule="auto"/>
        <w:ind w:left="72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Criação do Objeto de Oversampling: Criamos um objeto chamado oversampler utilizando a classe RandomOverSampler. Essa classe é responsável por equilibrar os dados aplicando a técnica de oversampling, que consiste em aumentar a quantidade de instâncias da classe minoritária.</w:t>
      </w:r>
    </w:p>
    <w:p w:rsidR="00000000" w:rsidDel="00000000" w:rsidP="00000000" w:rsidRDefault="00000000" w:rsidRPr="00000000" w14:paraId="000000A4">
      <w:pPr>
        <w:spacing w:line="264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line="264" w:lineRule="auto"/>
        <w:ind w:left="72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Separação das Features e do Target: Separamos as features (X) e o target (y) do DataFrame original. As features representam as variáveis independentes do modelo, enquanto o target representa a variável dependente que queremos prever ou classificar.</w:t>
      </w:r>
    </w:p>
    <w:p w:rsidR="00000000" w:rsidDel="00000000" w:rsidP="00000000" w:rsidRDefault="00000000" w:rsidRPr="00000000" w14:paraId="000000A6">
      <w:pPr>
        <w:spacing w:line="264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264" w:lineRule="auto"/>
        <w:ind w:left="72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Aplicação do Oversampling: Aplicamos o método fit_resample ao conjunto de features (X) e target (y) utilizando o objeto oversampler. Esse método realiza o equilíbrio dos dados, gerando novas amostras para a classe minoritária de forma aleatória até que as classes estejam equilibradas.</w:t>
      </w:r>
    </w:p>
    <w:p w:rsidR="00000000" w:rsidDel="00000000" w:rsidP="00000000" w:rsidRDefault="00000000" w:rsidRPr="00000000" w14:paraId="000000A8">
      <w:pPr>
        <w:spacing w:line="264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line="264" w:lineRule="auto"/>
        <w:ind w:left="72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Criação do DataFrame Equilibrado: Após o equilíbrio, combinamos novamente as features e o target em um novo DataFrame chamado df_resampled. Esse DataFrame agora contém um número igual de amostras para cada classe, garantindo que o conjunto de dados esteja equilibrado.</w:t>
      </w:r>
    </w:p>
    <w:p w:rsidR="00000000" w:rsidDel="00000000" w:rsidP="00000000" w:rsidRDefault="00000000" w:rsidRPr="00000000" w14:paraId="000000AA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64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64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Hyperparâmetros Utilizados: </w:t>
      </w:r>
    </w:p>
    <w:p w:rsidR="00000000" w:rsidDel="00000000" w:rsidP="00000000" w:rsidRDefault="00000000" w:rsidRPr="00000000" w14:paraId="000000AD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Não especificamos hyperparâmetros específicos, pois o RandomOverSampler não requer ajustes adicionais além da classe majoritária e minoritária.</w:t>
      </w:r>
    </w:p>
    <w:p w:rsidR="00000000" w:rsidDel="00000000" w:rsidP="00000000" w:rsidRDefault="00000000" w:rsidRPr="00000000" w14:paraId="000000AE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64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4. Descrição dos métodos utilizados:</w:t>
      </w:r>
    </w:p>
    <w:p w:rsidR="00000000" w:rsidDel="00000000" w:rsidP="00000000" w:rsidRDefault="00000000" w:rsidRPr="00000000" w14:paraId="000000B1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abordar o problema de classificação do diagnóstico de depressão, foram utilizados dois algoritmos de aprendizado de máquina: Naive Bayes e Árvore de Decisão. </w:t>
      </w:r>
    </w:p>
    <w:p w:rsidR="00000000" w:rsidDel="00000000" w:rsidP="00000000" w:rsidRDefault="00000000" w:rsidRPr="00000000" w14:paraId="000000B3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1. Naive Bayes:</w:t>
      </w:r>
    </w:p>
    <w:p w:rsidR="00000000" w:rsidDel="00000000" w:rsidP="00000000" w:rsidRDefault="00000000" w:rsidRPr="00000000" w14:paraId="000000B5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- O algoritmo de Naive Bayes é um método de classificação baseado no teorema de Bayes com a suposição "ingênua" de independência condicional entre os recursos. </w:t>
      </w:r>
    </w:p>
    <w:p w:rsidR="00000000" w:rsidDel="00000000" w:rsidP="00000000" w:rsidRDefault="00000000" w:rsidRPr="00000000" w14:paraId="000000B6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- Utilizamos a implementação do algoritmo Gaussiano (`GaussianNB`) do pacote `sklearn`.</w:t>
      </w:r>
    </w:p>
    <w:p w:rsidR="00000000" w:rsidDel="00000000" w:rsidP="00000000" w:rsidRDefault="00000000" w:rsidRPr="00000000" w14:paraId="000000B7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- Não foi necessário ajustar hiperparâmetros específicos neste caso, pois o Naive Bayes é conhecido por sua simplicidade e eficiência em muitos problemas de classificação.</w:t>
      </w:r>
    </w:p>
    <w:p w:rsidR="00000000" w:rsidDel="00000000" w:rsidP="00000000" w:rsidRDefault="00000000" w:rsidRPr="00000000" w14:paraId="000000B8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2. Árvore de Decisão:</w:t>
      </w:r>
    </w:p>
    <w:p w:rsidR="00000000" w:rsidDel="00000000" w:rsidP="00000000" w:rsidRDefault="00000000" w:rsidRPr="00000000" w14:paraId="000000BA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- O algoritmo de Árvore de Decisão é um método de aprendizado supervisionado que aprende uma série de regras de decisão simples com base nos recursos dos dados.</w:t>
      </w:r>
    </w:p>
    <w:p w:rsidR="00000000" w:rsidDel="00000000" w:rsidP="00000000" w:rsidRDefault="00000000" w:rsidRPr="00000000" w14:paraId="000000BB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- Utilizamos a implementação do algoritmo de Árvore de Decisão (`DecisionTreeClassifier`) do pacote `sklearn`.</w:t>
      </w:r>
    </w:p>
    <w:p w:rsidR="00000000" w:rsidDel="00000000" w:rsidP="00000000" w:rsidRDefault="00000000" w:rsidRPr="00000000" w14:paraId="000000BC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- Neste modelo, o hiperparâmetro `random_state` foi definido como 42 para garantir a reprodutibilidade dos resultados.</w:t>
      </w:r>
    </w:p>
    <w:p w:rsidR="00000000" w:rsidDel="00000000" w:rsidP="00000000" w:rsidRDefault="00000000" w:rsidRPr="00000000" w14:paraId="000000BD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Ambos os modelos foram implementados utilizando a linguagem de programação Python, especificamente com o auxílio das bibliotecas `pandas`, `scikit-learn`, `matplotlib` e `seaborn`. O pré-processamento dos dados, como lidar com valores ausentes e converter variáveis categóricas em numéricas, foi realizado antes do treinamento dos modelos.</w:t>
      </w:r>
    </w:p>
    <w:p w:rsidR="00000000" w:rsidDel="00000000" w:rsidP="00000000" w:rsidRDefault="00000000" w:rsidRPr="00000000" w14:paraId="000000BF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64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Melhor modelo:</w:t>
      </w:r>
    </w:p>
    <w:p w:rsidR="00000000" w:rsidDel="00000000" w:rsidP="00000000" w:rsidRDefault="00000000" w:rsidRPr="00000000" w14:paraId="000000C1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determinar qual modelo é o melhor para resolver o problema de classificação do diagnóstico de depressão, devemos considerar não apenas as métricas de desempenho, mas também as necessidades específicas do problema. Após avaliação dos resultados, o modelo de Árvore de Decisão obteve uma acurácia ligeiramente superior (90.52%) em comparação com o Naive Bayes (88.93%). Além disso, o modelo de Árvore de Decisão demonstrou uma precisão, recall e pontuação F1 ligeiramente melhores em comparação com o Naive Bayes. Portanto, com base nessas métricas de desempenho, o modelo de Árvore de Decisão pode ser considerado o melhor para este problema específico.</w:t>
      </w:r>
    </w:p>
    <w:p w:rsidR="00000000" w:rsidDel="00000000" w:rsidP="00000000" w:rsidRDefault="00000000" w:rsidRPr="00000000" w14:paraId="000000C3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64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Discussão dos resultados:</w:t>
      </w:r>
    </w:p>
    <w:p w:rsidR="00000000" w:rsidDel="00000000" w:rsidP="00000000" w:rsidRDefault="00000000" w:rsidRPr="00000000" w14:paraId="000000C5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64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Ambos os modelos, Naive Bayes e Árvore de Decisão, demonstraram desempenho promissor na classificação do diagnóstico de depressão. No entanto, o modelo de Árvore de Decisão mostrou um desempenho ligeiramente superior em termos de métricas de desempenho, como acurácia, precisão, recall e pontuação F1. Isso sugere que a estrutura de decisão mais complexa da Árvore de Decisão pode capturar melhor as relações entre os recursos e a variável alvo.</w:t>
      </w:r>
    </w:p>
    <w:p w:rsidR="00000000" w:rsidDel="00000000" w:rsidP="00000000" w:rsidRDefault="00000000" w:rsidRPr="00000000" w14:paraId="000000C7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Avaliação do modelo de Árvore de Decisão:</w:t>
      </w:r>
    </w:p>
    <w:p w:rsidR="00000000" w:rsidDel="00000000" w:rsidP="00000000" w:rsidRDefault="00000000" w:rsidRPr="00000000" w14:paraId="000000C8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2844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43434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Avaliação do Modelo Naive Bayes: </w:t>
      </w:r>
    </w:p>
    <w:p w:rsidR="00000000" w:rsidDel="00000000" w:rsidP="00000000" w:rsidRDefault="00000000" w:rsidRPr="00000000" w14:paraId="000000CF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3124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4406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264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D4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80" w:before="380" w:line="240" w:lineRule="auto"/>
        <w:ind w:left="280" w:right="0" w:hanging="280"/>
        <w:jc w:val="both"/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5. Código desenvolvido</w:t>
      </w:r>
    </w:p>
    <w:p w:rsidR="00000000" w:rsidDel="00000000" w:rsidP="00000000" w:rsidRDefault="00000000" w:rsidRPr="00000000" w14:paraId="000000D6">
      <w:pPr>
        <w:spacing w:after="40" w:before="200" w:line="240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  <w:rtl w:val="0"/>
        </w:rPr>
        <w:t xml:space="preserve">https://github.com/Pedro-io/projeto-aprendizado-de-maquina.git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40" w:before="200" w:line="240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40" w:before="200" w:line="24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Dondena, L. M., Ferretti, E., Maragoudakis, M., Sapino, M., &amp; Errecalde, M. L. (2017). Predicting Depression: a comparative study of machine learning approaches based on language usage. Cuadernos de Neuropsicologia, 11, 42-54.</w:t>
      </w:r>
    </w:p>
    <w:p w:rsidR="00000000" w:rsidDel="00000000" w:rsidP="00000000" w:rsidRDefault="00000000" w:rsidRPr="00000000" w14:paraId="000000DB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Batista, H. M. C. da, Paim, A. B., Siqueira, B. S., Ebecken, N. F. F., &amp; Dias, A. C. (n.d.). Fatores que podem desencadear depressão: uma aplicação do aprendizado de máquina aos dados da Pesquisa Nacional de Saúde no Brasil. </w:t>
      </w:r>
    </w:p>
    <w:p w:rsidR="00000000" w:rsidDel="00000000" w:rsidP="00000000" w:rsidRDefault="00000000" w:rsidRPr="00000000" w14:paraId="000000DD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Liu, Y., Pu, C., Xia, S., Deng, D., Wang, X., &amp; Li, M. (2022). Machine learning approaches for diagnosing depression using EEG: A review. Transl Neurosci, 13(1), 224-235. </w:t>
      </w:r>
    </w:p>
    <w:p w:rsidR="00000000" w:rsidDel="00000000" w:rsidP="00000000" w:rsidRDefault="00000000" w:rsidRPr="00000000" w14:paraId="000000DF">
      <w:pPr>
        <w:numPr>
          <w:ilvl w:val="1"/>
          <w:numId w:val="2"/>
        </w:numPr>
        <w:spacing w:line="276" w:lineRule="auto"/>
        <w:ind w:left="144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Patel, M. J., &amp; Khalaf, A. (2015). Studying depression using imaging and machine learning methods. NeuroImage: Clinical.</w:t>
      </w:r>
    </w:p>
    <w:p w:rsidR="00000000" w:rsidDel="00000000" w:rsidP="00000000" w:rsidRDefault="00000000" w:rsidRPr="00000000" w14:paraId="000000E1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Umberson, D., &amp; Montez, J. K. (2010). Social relationships and health: A flashpoint for health policy. Journal of health and social behavior, 51(1_suppl), S54-S66.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Teo, A. R., Choi, H., &amp; Valenstein, M. (2013). Social relationships and depression: Ten-year follow-up from a nationally representative study. PloS one, 8(4), e62396.</w:t>
      </w:r>
    </w:p>
    <w:p w:rsidR="00000000" w:rsidDel="00000000" w:rsidP="00000000" w:rsidRDefault="00000000" w:rsidRPr="00000000" w14:paraId="000000E4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Whisman, M. A. (2010). The association between depression and marital dissatisfaction. In Handbook of depression (pp. 165-180). Guilford Press.</w:t>
      </w:r>
    </w:p>
    <w:p w:rsidR="00000000" w:rsidDel="00000000" w:rsidP="00000000" w:rsidRDefault="00000000" w:rsidRPr="00000000" w14:paraId="000000E6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Lorant, V., Deliège, D., Eaton, W., Robert, A., Philippot, P., &amp; Ansseau, M. (2003). Socioeconomic inequalities in depression: a meta-analysis. American journal of epidemiology, 157(2), 98-112.</w:t>
      </w:r>
    </w:p>
    <w:p w:rsidR="00000000" w:rsidDel="00000000" w:rsidP="00000000" w:rsidRDefault="00000000" w:rsidRPr="00000000" w14:paraId="000000E8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Stansfeld, S., &amp; Candy, B. (2006). Psychosocial work environment and mental health—a meta-analytic review. Scandinavian journal of work, environment &amp; health, 32(6), 443-462.</w:t>
      </w:r>
    </w:p>
    <w:p w:rsidR="00000000" w:rsidDel="00000000" w:rsidP="00000000" w:rsidRDefault="00000000" w:rsidRPr="00000000" w14:paraId="000000EA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Virtanen, M., Stansfeld, S. A., Fuhrer, R., &amp; Ferrie, J. E. (2018). Overtime work as a predictor of major depressive episode: a 5-year follow-up of the Whitehall II study. PLoS One, 13(8), e0202224.</w:t>
      </w:r>
    </w:p>
    <w:p w:rsidR="00000000" w:rsidDel="00000000" w:rsidP="00000000" w:rsidRDefault="00000000" w:rsidRPr="00000000" w14:paraId="000000EC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Kessler, R. C., Davis, C. G., &amp; Kendler, K. S. (1995). Childhood adversity and adult psychiatric disorder in the US National Comorbidity Survey. Psychological medicine, 25(1), 51-67.</w:t>
      </w:r>
    </w:p>
    <w:p w:rsidR="00000000" w:rsidDel="00000000" w:rsidP="00000000" w:rsidRDefault="00000000" w:rsidRPr="00000000" w14:paraId="000000EE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Beck, A. T., Rush, A. J., Shaw, B. F., &amp; Emery, G. (1979). Cognitive therapy of depression. Guilford press.</w:t>
      </w:r>
    </w:p>
    <w:p w:rsidR="00000000" w:rsidDel="00000000" w:rsidP="00000000" w:rsidRDefault="00000000" w:rsidRPr="00000000" w14:paraId="000000F0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Kendler, K. S., Gatz, M., Gardner, C. O., &amp; Pedersen, N. L. (2006). A Swedish national twin study of lifetime major depression. American Journal of Psychiatry, 163(1), 109-114.</w:t>
      </w:r>
    </w:p>
    <w:p w:rsidR="00000000" w:rsidDel="00000000" w:rsidP="00000000" w:rsidRDefault="00000000" w:rsidRPr="00000000" w14:paraId="000000F2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Smith, K. J., Victor, C., &amp; Bartholomew, J. (2006). Factors associated with the self-reported health status of older people in the United Kingdom. Ageing &amp; society, 26(4), 607-627.</w:t>
      </w:r>
    </w:p>
    <w:p w:rsidR="00000000" w:rsidDel="00000000" w:rsidP="00000000" w:rsidRDefault="00000000" w:rsidRPr="00000000" w14:paraId="000000F4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Beck, A. T., Ward, C. H., Mendelson, M., Mock, J., &amp; Erbaugh, J. (1961). An inventory for measuring depression. Archives of general psychiatry, 4(6), 561-571.</w:t>
      </w:r>
    </w:p>
    <w:p w:rsidR="00000000" w:rsidDel="00000000" w:rsidP="00000000" w:rsidRDefault="00000000" w:rsidRPr="00000000" w14:paraId="000000F6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Kuehner, C. (2017). Gender differences in unipolar depression: an update of epidemiological findings and possible explanations. Acta Psychiatrica Scandinavica, 95(3), 163-174.</w:t>
      </w:r>
    </w:p>
    <w:p w:rsidR="00000000" w:rsidDel="00000000" w:rsidP="00000000" w:rsidRDefault="00000000" w:rsidRPr="00000000" w14:paraId="000000F8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Fiske, A., Wetherell, J. L., &amp; Gatz, M. (2009). Depression in older adults. Annual Review of Clinical Psychology, 5, 363-389.</w:t>
      </w:r>
    </w:p>
    <w:p w:rsidR="00000000" w:rsidDel="00000000" w:rsidP="00000000" w:rsidRDefault="00000000" w:rsidRPr="00000000" w14:paraId="000000FA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Sullivan, P. F., Neale, M. C., &amp; Kendler, K. S. (2000). Genetic epidemiology of major depression: Review and meta-analysis. American journal of psychiatry, 157(10), 1552-1562.</w:t>
      </w:r>
    </w:p>
    <w:p w:rsidR="00000000" w:rsidDel="00000000" w:rsidP="00000000" w:rsidRDefault="00000000" w:rsidRPr="00000000" w14:paraId="000000FC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Young, E. A., Korszun, A., &amp; Sex and Gender in Mood Disorders Task Force. (2014). The hypothalamic-pituitary-gonadal axis in mood disorders. Endocrinology and metabolism clinics of North America, 43(3), 683-696.</w:t>
      </w:r>
    </w:p>
    <w:p w:rsidR="00000000" w:rsidDel="00000000" w:rsidP="00000000" w:rsidRDefault="00000000" w:rsidRPr="00000000" w14:paraId="000000FE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Luppino, F. S., de Wit, L. M., Bouvy, P. F., Stijnen, T., Cuijpers, P., Penninx, B. W., &amp; Zitman, F. G. (2010). Overweight, obesity, and depression: a systematic review and meta-analysis of longitudinal studies. Archives of general psychiatry, 67(3), 220-229.</w:t>
      </w:r>
    </w:p>
    <w:p w:rsidR="00000000" w:rsidDel="00000000" w:rsidP="00000000" w:rsidRDefault="00000000" w:rsidRPr="00000000" w14:paraId="00000100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Lai, H. M. X., Cleary, M., Sitharthan, T., &amp; Hunt, G. E. (2015). Prevalence of comorbid substance use, anxiety and mood disorders in epidemiological surveys, 1990–2014: A systematic review and meta-analysis. Drug and alcohol dependence, 154, 1-13.</w:t>
      </w:r>
    </w:p>
    <w:p w:rsidR="00000000" w:rsidDel="00000000" w:rsidP="00000000" w:rsidRDefault="00000000" w:rsidRPr="00000000" w14:paraId="00000102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Skogen, J. C., Harvey, S. B., Henderson, M., Stordal, E., Mykletun, A., &amp; Øverland, S. (2014). Anxiety and depression among abstainers and low-level alcohol consumers: The Nord-Trøndelag Health Study. Addiction, 109(2), 269-277.</w:t>
      </w:r>
    </w:p>
    <w:p w:rsidR="00000000" w:rsidDel="00000000" w:rsidP="00000000" w:rsidRDefault="00000000" w:rsidRPr="00000000" w14:paraId="00000104">
      <w:pPr>
        <w:spacing w:after="40" w:before="200" w:line="240" w:lineRule="auto"/>
        <w:ind w:left="0" w:right="0" w:firstLine="0"/>
        <w:jc w:val="both"/>
        <w:rPr>
          <w:rFonts w:ascii="Linux Libertine" w:cs="Linux Libertine" w:eastAsia="Linux Libertine" w:hAnsi="Linux Libertin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0" w:line="264" w:lineRule="auto"/>
        <w:ind w:left="0" w:right="0" w:firstLine="0"/>
        <w:jc w:val="both"/>
        <w:rPr>
          <w:rFonts w:ascii="Linux Libertine" w:cs="Linux Libertine" w:eastAsia="Linux Libertine" w:hAnsi="Linux Libertine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Linux Biolinum"/>
  <w:font w:name="Linux Libertine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29.png"/><Relationship Id="rId42" Type="http://schemas.openxmlformats.org/officeDocument/2006/relationships/image" Target="media/image16.png"/><Relationship Id="rId41" Type="http://schemas.openxmlformats.org/officeDocument/2006/relationships/image" Target="media/image22.png"/><Relationship Id="rId22" Type="http://schemas.openxmlformats.org/officeDocument/2006/relationships/image" Target="media/image30.png"/><Relationship Id="rId44" Type="http://schemas.openxmlformats.org/officeDocument/2006/relationships/image" Target="media/image36.png"/><Relationship Id="rId21" Type="http://schemas.openxmlformats.org/officeDocument/2006/relationships/image" Target="media/image7.png"/><Relationship Id="rId43" Type="http://schemas.openxmlformats.org/officeDocument/2006/relationships/image" Target="media/image31.png"/><Relationship Id="rId24" Type="http://schemas.openxmlformats.org/officeDocument/2006/relationships/image" Target="media/image10.png"/><Relationship Id="rId46" Type="http://schemas.openxmlformats.org/officeDocument/2006/relationships/image" Target="media/image38.png"/><Relationship Id="rId23" Type="http://schemas.openxmlformats.org/officeDocument/2006/relationships/image" Target="media/image11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.png"/><Relationship Id="rId48" Type="http://schemas.openxmlformats.org/officeDocument/2006/relationships/image" Target="media/image2.png"/><Relationship Id="rId25" Type="http://schemas.openxmlformats.org/officeDocument/2006/relationships/image" Target="media/image32.png"/><Relationship Id="rId47" Type="http://schemas.openxmlformats.org/officeDocument/2006/relationships/image" Target="media/image3.png"/><Relationship Id="rId28" Type="http://schemas.openxmlformats.org/officeDocument/2006/relationships/image" Target="media/image39.png"/><Relationship Id="rId27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hyperlink" Target="https://doi.org/10.1145/1234567890" TargetMode="External"/><Relationship Id="rId29" Type="http://schemas.openxmlformats.org/officeDocument/2006/relationships/image" Target="media/image33.png"/><Relationship Id="rId7" Type="http://schemas.openxmlformats.org/officeDocument/2006/relationships/image" Target="media/image42.png"/><Relationship Id="rId8" Type="http://schemas.openxmlformats.org/officeDocument/2006/relationships/image" Target="media/image19.png"/><Relationship Id="rId31" Type="http://schemas.openxmlformats.org/officeDocument/2006/relationships/image" Target="media/image17.png"/><Relationship Id="rId30" Type="http://schemas.openxmlformats.org/officeDocument/2006/relationships/image" Target="media/image40.png"/><Relationship Id="rId11" Type="http://schemas.openxmlformats.org/officeDocument/2006/relationships/image" Target="media/image37.png"/><Relationship Id="rId33" Type="http://schemas.openxmlformats.org/officeDocument/2006/relationships/image" Target="media/image4.png"/><Relationship Id="rId10" Type="http://schemas.openxmlformats.org/officeDocument/2006/relationships/image" Target="media/image27.png"/><Relationship Id="rId32" Type="http://schemas.openxmlformats.org/officeDocument/2006/relationships/image" Target="media/image23.png"/><Relationship Id="rId13" Type="http://schemas.openxmlformats.org/officeDocument/2006/relationships/image" Target="media/image13.png"/><Relationship Id="rId35" Type="http://schemas.openxmlformats.org/officeDocument/2006/relationships/image" Target="media/image9.png"/><Relationship Id="rId12" Type="http://schemas.openxmlformats.org/officeDocument/2006/relationships/image" Target="media/image35.png"/><Relationship Id="rId34" Type="http://schemas.openxmlformats.org/officeDocument/2006/relationships/image" Target="media/image14.png"/><Relationship Id="rId15" Type="http://schemas.openxmlformats.org/officeDocument/2006/relationships/image" Target="media/image26.png"/><Relationship Id="rId37" Type="http://schemas.openxmlformats.org/officeDocument/2006/relationships/image" Target="media/image24.png"/><Relationship Id="rId14" Type="http://schemas.openxmlformats.org/officeDocument/2006/relationships/image" Target="media/image28.png"/><Relationship Id="rId36" Type="http://schemas.openxmlformats.org/officeDocument/2006/relationships/image" Target="media/image25.png"/><Relationship Id="rId17" Type="http://schemas.openxmlformats.org/officeDocument/2006/relationships/image" Target="media/image15.png"/><Relationship Id="rId39" Type="http://schemas.openxmlformats.org/officeDocument/2006/relationships/image" Target="media/image34.png"/><Relationship Id="rId16" Type="http://schemas.openxmlformats.org/officeDocument/2006/relationships/image" Target="media/image21.png"/><Relationship Id="rId38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