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240"/>
          <w:sz w:val="48"/>
        </w:rPr>
        <w:t>COMPLETE PROJECT WORK PLAN</w:t>
      </w:r>
    </w:p>
    <w:p>
      <w:pPr>
        <w:spacing w:before="0" w:after="360"/>
      </w:pPr>
      <w:r>
        <w:rPr>
          <w:rFonts w:ascii="Calibri" w:hAnsi="Calibri"/>
          <w:i/>
          <w:color w:val="46505F"/>
          <w:sz w:val="28"/>
        </w:rPr>
        <w:t>Project Lifecycle &amp; Standard Technical Workflow Specification</w:t>
      </w:r>
    </w:p>
    <w:tbl>
      <w:tblPr>
        <w:tblW w:type="auto" w:w="0"/>
        <w:jc w:val="center"/>
        <w:tblLook w:firstColumn="1" w:firstRow="1" w:lastColumn="0" w:lastRow="0" w:noHBand="0" w:noVBand="1" w:val="04A0"/>
      </w:tblPr>
      <w:tblGrid>
        <w:gridCol w:w="9360"/>
      </w:tblGrid>
      <w:tr>
        <w:tc>
          <w:tcPr>
            <w:tcW w:type="dxa" w:w="9360"/>
            <w:shd w:fill="F4F6F9"/>
            <w:tcMar>
              <w:top w:w="180" w:type="dxa"/>
              <w:bottom w:w="180" w:type="dxa"/>
              <w:left w:w="200" w:type="dxa"/>
              <w:right w:w="200" w:type="dxa"/>
            </w:tcMar>
            <w:tcBorders>
              <w:left w:val="single" w:sz="24" w:space="0" w:color="0F2240"/>
              <w:top w:val="none"/>
              <w:bottom w:val="none"/>
              <w:right w:val="none"/>
            </w:tcBorders>
          </w:tcPr>
          <w:p>
            <w:pPr>
              <w:spacing w:after="80"/>
            </w:pPr>
            <w:r>
              <w:rPr>
                <w:b/>
                <w:color w:val="0F2240"/>
              </w:rPr>
              <w:t xml:space="preserve">Project Managers: </w:t>
            </w:r>
            <w:r>
              <w:t>Dotto Hamis Mtundu (Lead Developer) &amp; Antony Masaga (Co-Lead/Developer)</w:t>
            </w:r>
          </w:p>
          <w:p>
            <w:pPr>
              <w:spacing w:after="80"/>
            </w:pPr>
            <w:r>
              <w:rPr>
                <w:b/>
                <w:color w:val="0F2240"/>
              </w:rPr>
              <w:t xml:space="preserve">Document Status: </w:t>
            </w:r>
            <w:r>
              <w:t>Approved Draft</w:t>
            </w:r>
          </w:p>
          <w:p>
            <w:pPr>
              <w:spacing w:after="0"/>
            </w:pPr>
            <w:r>
              <w:rPr>
                <w:b/>
                <w:color w:val="0F2240"/>
              </w:rPr>
              <w:t xml:space="preserve">Workflow Framework: </w:t>
            </w:r>
            <w:r>
              <w:t>Agile / Git-flow Integration</w:t>
            </w:r>
          </w:p>
        </w:tc>
      </w:tr>
    </w:tbl>
    <w:p>
      <w:pPr>
        <w:spacing w:after="240"/>
      </w:pPr>
    </w:p>
    <w:p>
      <w:pPr>
        <w:keepNext/>
        <w:spacing w:before="360" w:after="120"/>
      </w:pPr>
      <w:r>
        <w:rPr>
          <w:rFonts w:ascii="Calibri" w:hAnsi="Calibri"/>
          <w:b/>
          <w:color w:val="0F2240"/>
          <w:sz w:val="28"/>
        </w:rPr>
        <w:t>1. Introduction &amp; Objectives</w:t>
      </w:r>
    </w:p>
    <w:p>
      <w:pPr>
        <w:spacing w:after="240" w:line="276" w:lineRule="auto"/>
      </w:pPr>
      <w:r>
        <w:t>This document outlines the official end-to-end technical workflow for the project. The primary goal is to establish seamless coordination between Dotto and Antony, implement rigorous quality control for all developed systems, and ensure the successful delivery of project milestones on time and within budget.</w:t>
      </w:r>
    </w:p>
    <w:p>
      <w:pPr>
        <w:keepNext/>
        <w:spacing w:before="360" w:after="120"/>
      </w:pPr>
      <w:r>
        <w:rPr>
          <w:rFonts w:ascii="Calibri" w:hAnsi="Calibri"/>
          <w:b/>
          <w:color w:val="0F2240"/>
          <w:sz w:val="28"/>
        </w:rPr>
        <w:t>2. Technical Project Phases</w:t>
      </w:r>
    </w:p>
    <w:p>
      <w:pPr>
        <w:keepNext/>
      </w:pPr>
      <w:r>
        <w:rPr>
          <w:b/>
          <w:color w:val="46505F"/>
          <w:sz w:val="24"/>
        </w:rPr>
        <w:t>Phase 1: Project Initiation</w:t>
      </w:r>
    </w:p>
    <w:p>
      <w:pPr>
        <w:pStyle w:val="ListBullet"/>
        <w:spacing w:after="60" w:line="276" w:lineRule="auto"/>
      </w:pPr>
      <w:r>
        <w:rPr>
          <w:b/>
          <w:color w:val="282828"/>
        </w:rPr>
        <w:t xml:space="preserve">Project Scope &amp; Goal Setup: </w:t>
      </w:r>
      <w:r>
        <w:rPr>
          <w:color w:val="282828"/>
        </w:rPr>
        <w:t>Clearly defining core deliverables and boundaries to prevent scope creep later in the project lifecycle.</w:t>
      </w:r>
    </w:p>
    <w:p>
      <w:pPr>
        <w:pStyle w:val="ListBullet"/>
        <w:spacing w:after="60" w:line="276" w:lineRule="auto"/>
      </w:pPr>
      <w:r>
        <w:rPr>
          <w:b/>
          <w:color w:val="282828"/>
        </w:rPr>
        <w:t xml:space="preserve">Roles &amp; Responsibilities: </w:t>
      </w:r>
      <w:r>
        <w:rPr>
          <w:color w:val="282828"/>
        </w:rPr>
        <w:t>Explicitly mapping out responsibilities—assigning Dotto as the Technical and Database Lead, and Antony as the Primary Systems Construction Partner.</w:t>
      </w:r>
    </w:p>
    <w:p>
      <w:pPr>
        <w:pStyle w:val="ListBullet"/>
        <w:spacing w:after="60" w:line="276" w:lineRule="auto"/>
      </w:pPr>
      <w:r>
        <w:rPr>
          <w:b/>
          <w:color w:val="282828"/>
        </w:rPr>
        <w:t xml:space="preserve">Kick-off Meeting: </w:t>
      </w:r>
      <w:r>
        <w:rPr>
          <w:color w:val="282828"/>
        </w:rPr>
        <w:t>An official alignment session to finalize the tech stack and establish mutual expectations.</w:t>
      </w:r>
    </w:p>
    <w:p>
      <w:pPr>
        <w:pStyle w:val="ListBullet"/>
        <w:spacing w:after="60" w:line="276" w:lineRule="auto"/>
      </w:pPr>
      <w:r>
        <w:rPr>
          <w:b/>
          <w:color w:val="282828"/>
        </w:rPr>
        <w:t xml:space="preserve">Key Deliverable: </w:t>
      </w:r>
      <w:r>
        <w:rPr>
          <w:color w:val="282828"/>
        </w:rPr>
        <w:t>Approved Project Charter &amp; Tech-Stack Definition.</w:t>
      </w:r>
    </w:p>
    <w:p>
      <w:pPr>
        <w:keepNext/>
      </w:pPr>
      <w:r>
        <w:rPr>
          <w:b/>
          <w:color w:val="46505F"/>
          <w:sz w:val="24"/>
        </w:rPr>
        <w:t>Phase 2: Project Planning</w:t>
      </w:r>
    </w:p>
    <w:p>
      <w:pPr>
        <w:pStyle w:val="ListBullet"/>
        <w:spacing w:after="60" w:line="276" w:lineRule="auto"/>
      </w:pPr>
      <w:r>
        <w:rPr>
          <w:b/>
          <w:color w:val="282828"/>
        </w:rPr>
        <w:t xml:space="preserve">Work Breakdown Structure (WBS): </w:t>
      </w:r>
      <w:r>
        <w:rPr>
          <w:color w:val="282828"/>
        </w:rPr>
        <w:t>Deconstructing the project into manageable, prioritizable tasks.</w:t>
      </w:r>
    </w:p>
    <w:p>
      <w:pPr>
        <w:pStyle w:val="ListBullet"/>
        <w:spacing w:after="60" w:line="276" w:lineRule="auto"/>
      </w:pPr>
      <w:r>
        <w:rPr>
          <w:b/>
          <w:color w:val="282828"/>
        </w:rPr>
        <w:t xml:space="preserve">Project Roadmap &amp; Milestones: </w:t>
      </w:r>
      <w:r>
        <w:rPr>
          <w:color w:val="282828"/>
        </w:rPr>
        <w:t>Establishing a strict, calendar-mapped timeline with firm deadlines for each feature.</w:t>
      </w:r>
    </w:p>
    <w:p>
      <w:pPr>
        <w:pStyle w:val="ListBullet"/>
        <w:spacing w:after="60" w:line="276" w:lineRule="auto"/>
      </w:pPr>
      <w:r>
        <w:rPr>
          <w:b/>
          <w:color w:val="282828"/>
        </w:rPr>
        <w:t xml:space="preserve">Git Repository Setup: </w:t>
      </w:r>
      <w:r>
        <w:rPr>
          <w:color w:val="282828"/>
        </w:rPr>
        <w:t>Configuring the official GitHub organization/repository and enforcing branching policies.</w:t>
      </w:r>
    </w:p>
    <w:p>
      <w:pPr>
        <w:pStyle w:val="ListBullet"/>
        <w:spacing w:after="60" w:line="276" w:lineRule="auto"/>
      </w:pPr>
      <w:r>
        <w:rPr>
          <w:b/>
          <w:color w:val="282828"/>
        </w:rPr>
        <w:t xml:space="preserve">Risk Management Plan: </w:t>
      </w:r>
      <w:r>
        <w:rPr>
          <w:color w:val="282828"/>
        </w:rPr>
        <w:t>Identifying potential technical, resource, or timeline bottlenecks and preparing mitigation protocols.</w:t>
      </w:r>
    </w:p>
    <w:p>
      <w:pPr>
        <w:pStyle w:val="ListBullet"/>
        <w:spacing w:after="60" w:line="276" w:lineRule="auto"/>
      </w:pPr>
      <w:r>
        <w:rPr>
          <w:b/>
          <w:color w:val="282828"/>
        </w:rPr>
        <w:t xml:space="preserve">Key Deliverable: </w:t>
      </w:r>
      <w:r>
        <w:rPr>
          <w:color w:val="282828"/>
        </w:rPr>
        <w:t>Comprehensive Project Management Plan &amp; Git Workflow Specifications.</w:t>
      </w:r>
    </w:p>
    <w:p>
      <w:pPr>
        <w:keepNext/>
      </w:pPr>
      <w:r>
        <w:rPr>
          <w:b/>
          <w:color w:val="46505F"/>
          <w:sz w:val="24"/>
        </w:rPr>
        <w:t>Phase 3: Project Execution</w:t>
      </w:r>
    </w:p>
    <w:p>
      <w:pPr>
        <w:pStyle w:val="ListBullet"/>
        <w:spacing w:after="60" w:line="276" w:lineRule="auto"/>
      </w:pPr>
      <w:r>
        <w:rPr>
          <w:b/>
          <w:color w:val="282828"/>
        </w:rPr>
        <w:t xml:space="preserve">Environment &amp; Database Architecture: </w:t>
      </w:r>
      <w:r>
        <w:rPr>
          <w:color w:val="282828"/>
        </w:rPr>
        <w:t>Designing robust database schemas and initializing isolated local development environments.</w:t>
      </w:r>
    </w:p>
    <w:p>
      <w:pPr>
        <w:pStyle w:val="ListBullet"/>
        <w:spacing w:after="60" w:line="276" w:lineRule="auto"/>
      </w:pPr>
      <w:r>
        <w:rPr>
          <w:b/>
          <w:color w:val="282828"/>
        </w:rPr>
        <w:t xml:space="preserve">Git &amp; Collaborative Coding: </w:t>
      </w:r>
      <w:r>
        <w:rPr>
          <w:color w:val="282828"/>
        </w:rPr>
        <w:t>Developing feature branches independently. Both Dotto and Antony will utilize Pull Requests (PRs) for peer review before merging code.</w:t>
      </w:r>
    </w:p>
    <w:p>
      <w:pPr>
        <w:pStyle w:val="ListBullet"/>
        <w:spacing w:after="60" w:line="276" w:lineRule="auto"/>
      </w:pPr>
      <w:r>
        <w:rPr>
          <w:b/>
          <w:color w:val="282828"/>
        </w:rPr>
        <w:t xml:space="preserve">Regular Standups: </w:t>
      </w:r>
      <w:r>
        <w:rPr>
          <w:color w:val="282828"/>
        </w:rPr>
        <w:t>Brief, routine progress syncs to quickly unblock technical hurdles.</w:t>
      </w:r>
    </w:p>
    <w:p>
      <w:pPr>
        <w:pStyle w:val="ListBullet"/>
        <w:spacing w:after="60" w:line="276" w:lineRule="auto"/>
      </w:pPr>
      <w:r>
        <w:rPr>
          <w:b/>
          <w:color w:val="282828"/>
        </w:rPr>
        <w:t xml:space="preserve">Key Deliverable: </w:t>
      </w:r>
      <w:r>
        <w:rPr>
          <w:color w:val="282828"/>
        </w:rPr>
        <w:t>Fully Functional Source Code &amp; Stable Local Builds.</w:t>
      </w:r>
    </w:p>
    <w:p>
      <w:pPr>
        <w:keepNext/>
      </w:pPr>
      <w:r>
        <w:rPr>
          <w:b/>
          <w:color w:val="46505F"/>
          <w:sz w:val="24"/>
        </w:rPr>
        <w:t>Phase 4: Monitoring &amp; Control</w:t>
      </w:r>
    </w:p>
    <w:p>
      <w:pPr>
        <w:pStyle w:val="ListBullet"/>
        <w:spacing w:after="60" w:line="276" w:lineRule="auto"/>
      </w:pPr>
      <w:r>
        <w:rPr>
          <w:b/>
          <w:color w:val="282828"/>
        </w:rPr>
        <w:t xml:space="preserve">Quality Assurance (QA) &amp; Testing: </w:t>
      </w:r>
      <w:r>
        <w:rPr>
          <w:color w:val="282828"/>
        </w:rPr>
        <w:t>Writing and executing unit and integration tests to isolate and patch bugs before deployment.</w:t>
      </w:r>
    </w:p>
    <w:p>
      <w:pPr>
        <w:pStyle w:val="ListBullet"/>
        <w:spacing w:after="60" w:line="276" w:lineRule="auto"/>
      </w:pPr>
      <w:r>
        <w:rPr>
          <w:b/>
          <w:color w:val="282828"/>
        </w:rPr>
        <w:t xml:space="preserve">Sprint Review &amp; Progress Tracking: </w:t>
      </w:r>
      <w:r>
        <w:rPr>
          <w:color w:val="282828"/>
        </w:rPr>
        <w:t>Evaluating velocity and task completion rates against the official roadmap timeline.</w:t>
      </w:r>
    </w:p>
    <w:p>
      <w:pPr>
        <w:pStyle w:val="ListBullet"/>
        <w:spacing w:after="60" w:line="276" w:lineRule="auto"/>
      </w:pPr>
      <w:r>
        <w:rPr>
          <w:b/>
          <w:color w:val="282828"/>
        </w:rPr>
        <w:t xml:space="preserve">Scope Control: </w:t>
      </w:r>
      <w:r>
        <w:rPr>
          <w:color w:val="282828"/>
        </w:rPr>
        <w:t>Protecting the timeline from unexpected feature requests by vetting modifications through a change-impact assessment.</w:t>
      </w:r>
    </w:p>
    <w:p>
      <w:pPr>
        <w:pStyle w:val="ListBullet"/>
        <w:spacing w:after="60" w:line="276" w:lineRule="auto"/>
      </w:pPr>
      <w:r>
        <w:rPr>
          <w:b/>
          <w:color w:val="282828"/>
        </w:rPr>
        <w:t xml:space="preserve">Key Deliverable: </w:t>
      </w:r>
      <w:r>
        <w:rPr>
          <w:color w:val="282828"/>
        </w:rPr>
        <w:t>QA Test Reports &amp; Sprint Progress Logs.</w:t>
      </w:r>
    </w:p>
    <w:p>
      <w:pPr>
        <w:keepNext/>
      </w:pPr>
      <w:r>
        <w:rPr>
          <w:b/>
          <w:color w:val="46505F"/>
          <w:sz w:val="24"/>
        </w:rPr>
        <w:t>Phase 5: Project Closing</w:t>
      </w:r>
    </w:p>
    <w:p>
      <w:pPr>
        <w:pStyle w:val="ListBullet"/>
        <w:spacing w:after="60" w:line="276" w:lineRule="auto"/>
      </w:pPr>
      <w:r>
        <w:rPr>
          <w:b/>
          <w:color w:val="282828"/>
        </w:rPr>
        <w:t xml:space="preserve">Production Deployment: </w:t>
      </w:r>
      <w:r>
        <w:rPr>
          <w:color w:val="282828"/>
        </w:rPr>
        <w:t>Shipping the fully verified system to the live production server.</w:t>
      </w:r>
    </w:p>
    <w:p>
      <w:pPr>
        <w:pStyle w:val="ListBullet"/>
        <w:spacing w:after="60" w:line="276" w:lineRule="auto"/>
      </w:pPr>
      <w:r>
        <w:rPr>
          <w:b/>
          <w:color w:val="282828"/>
        </w:rPr>
        <w:t xml:space="preserve">Technical Documentation: </w:t>
      </w:r>
      <w:r>
        <w:rPr>
          <w:color w:val="282828"/>
        </w:rPr>
        <w:t>Writing API documentation, compiling ERDs (Database Diagrams), and drafting quick-start developer/user guides.</w:t>
      </w:r>
    </w:p>
    <w:p>
      <w:pPr>
        <w:pStyle w:val="ListBullet"/>
        <w:spacing w:after="60" w:line="276" w:lineRule="auto"/>
      </w:pPr>
      <w:r>
        <w:rPr>
          <w:b/>
          <w:color w:val="282828"/>
        </w:rPr>
        <w:t xml:space="preserve">Post-Mortem Meeting: </w:t>
      </w:r>
      <w:r>
        <w:rPr>
          <w:color w:val="282828"/>
        </w:rPr>
        <w:t>A final retrospective session for Dotto and Antony to analyze what went well, what didn't, and key takeaways for future builds.</w:t>
      </w:r>
    </w:p>
    <w:p>
      <w:pPr>
        <w:pStyle w:val="ListBullet"/>
        <w:spacing w:after="60" w:line="276" w:lineRule="auto"/>
      </w:pPr>
      <w:r>
        <w:rPr>
          <w:b/>
          <w:color w:val="282828"/>
        </w:rPr>
        <w:t xml:space="preserve">Key Deliverable: </w:t>
      </w:r>
      <w:r>
        <w:rPr>
          <w:color w:val="282828"/>
        </w:rPr>
        <w:t>Live Production System, Completed Technical Documentation, and Project Closure Report.</w:t>
      </w:r>
    </w:p>
    <w:p>
      <w:pPr>
        <w:keepNext/>
        <w:spacing w:before="360" w:after="120"/>
      </w:pPr>
      <w:r>
        <w:rPr>
          <w:rFonts w:ascii="Calibri" w:hAnsi="Calibri"/>
          <w:b/>
          <w:color w:val="0F2240"/>
          <w:sz w:val="28"/>
        </w:rPr>
        <w:t>3. Extended Working Duration &amp; Timeline (16-Week Cycle)</w:t>
      </w:r>
    </w:p>
    <w:p>
      <w:pPr>
        <w:spacing w:after="240"/>
      </w:pPr>
      <w:r>
        <w:t>To ensure high-quality delivery and thorough testing, the project timeline has been extended to 16 Weeks (4 Months). This provides ample buffer for heavy development, testing iterations, and seamless production deployment.</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left w:val="none"/>
          <w:right w:val="none"/>
          <w:insideV w:val="none"/>
        </w:tblBorders>
      </w:tblPr>
      <w:tblGrid>
        <w:gridCol w:w="2340"/>
        <w:gridCol w:w="2340"/>
        <w:gridCol w:w="2340"/>
        <w:gridCol w:w="2340"/>
      </w:tblGrid>
      <w:tr>
        <w:tc>
          <w:tcPr>
            <w:tcW w:type="dxa" w:w="1728"/>
            <w:shd w:fill="0F2240"/>
          </w:tcPr>
          <w:p>
            <w:pPr>
              <w:spacing w:before="120" w:after="120"/>
            </w:pPr>
            <w:r>
              <w:rPr>
                <w:b/>
                <w:color w:val="FFFFFF"/>
                <w:sz w:val="20"/>
              </w:rPr>
              <w:t>Phase</w:t>
            </w:r>
          </w:p>
        </w:tc>
        <w:tc>
          <w:tcPr>
            <w:tcW w:type="dxa" w:w="3600"/>
            <w:shd w:fill="0F2240"/>
          </w:tcPr>
          <w:p>
            <w:pPr>
              <w:spacing w:before="120" w:after="120"/>
            </w:pPr>
            <w:r>
              <w:rPr>
                <w:b/>
                <w:color w:val="FFFFFF"/>
                <w:sz w:val="20"/>
              </w:rPr>
              <w:t>Core Focus</w:t>
            </w:r>
          </w:p>
        </w:tc>
        <w:tc>
          <w:tcPr>
            <w:tcW w:type="dxa" w:w="1584"/>
            <w:shd w:fill="0F2240"/>
          </w:tcPr>
          <w:p>
            <w:pPr>
              <w:spacing w:before="120" w:after="120"/>
            </w:pPr>
            <w:r>
              <w:rPr>
                <w:b/>
                <w:color w:val="FFFFFF"/>
                <w:sz w:val="20"/>
              </w:rPr>
              <w:t>Duration</w:t>
            </w:r>
          </w:p>
        </w:tc>
        <w:tc>
          <w:tcPr>
            <w:tcW w:type="dxa" w:w="2448"/>
            <w:shd w:fill="0F2240"/>
          </w:tcPr>
          <w:p>
            <w:pPr>
              <w:spacing w:before="120" w:after="120"/>
            </w:pPr>
            <w:r>
              <w:rPr>
                <w:b/>
                <w:color w:val="FFFFFF"/>
                <w:sz w:val="20"/>
              </w:rPr>
              <w:t>Targeted Milestone</w:t>
            </w:r>
          </w:p>
        </w:tc>
      </w:tr>
      <w:tr>
        <w:tc>
          <w:tcPr>
            <w:tcW w:type="dxa" w:w="1728"/>
            <w:shd w:fill="FFFFFF"/>
            <w:tcMar>
              <w:top w:w="100" w:type="dxa"/>
              <w:bottom w:w="100" w:type="dxa"/>
              <w:left w:w="120" w:type="dxa"/>
              <w:right w:w="120" w:type="dxa"/>
            </w:tcMar>
          </w:tcPr>
          <w:p>
            <w:pPr>
              <w:spacing w:before="80" w:after="80"/>
            </w:pPr>
            <w:r>
              <w:rPr>
                <w:b/>
                <w:color w:val="0F2240"/>
                <w:sz w:val="19"/>
              </w:rPr>
              <w:t>Phase 1: Initiation</w:t>
            </w:r>
          </w:p>
        </w:tc>
        <w:tc>
          <w:tcPr>
            <w:tcW w:type="dxa" w:w="3600"/>
            <w:shd w:fill="FFFFFF"/>
            <w:tcMar>
              <w:top w:w="100" w:type="dxa"/>
              <w:bottom w:w="100" w:type="dxa"/>
              <w:left w:w="120" w:type="dxa"/>
              <w:right w:w="120" w:type="dxa"/>
            </w:tcMar>
          </w:tcPr>
          <w:p>
            <w:pPr>
              <w:spacing w:before="80" w:after="80"/>
            </w:pPr>
            <w:r>
              <w:rPr>
                <w:sz w:val="19"/>
              </w:rPr>
              <w:t>Scope definition, role alignment, tech-stack sign-off.</w:t>
            </w:r>
          </w:p>
        </w:tc>
        <w:tc>
          <w:tcPr>
            <w:tcW w:type="dxa" w:w="1584"/>
            <w:shd w:fill="FFFFFF"/>
            <w:tcMar>
              <w:top w:w="100" w:type="dxa"/>
              <w:bottom w:w="100" w:type="dxa"/>
              <w:left w:w="120" w:type="dxa"/>
              <w:right w:w="120" w:type="dxa"/>
            </w:tcMar>
          </w:tcPr>
          <w:p>
            <w:pPr>
              <w:spacing w:before="80" w:after="80"/>
            </w:pPr>
            <w:r>
              <w:rPr>
                <w:sz w:val="19"/>
              </w:rPr>
              <w:t>Weeks 1–2</w:t>
            </w:r>
          </w:p>
        </w:tc>
        <w:tc>
          <w:tcPr>
            <w:tcW w:type="dxa" w:w="2448"/>
            <w:shd w:fill="FFFFFF"/>
            <w:tcMar>
              <w:top w:w="100" w:type="dxa"/>
              <w:bottom w:w="100" w:type="dxa"/>
              <w:left w:w="120" w:type="dxa"/>
              <w:right w:w="120" w:type="dxa"/>
            </w:tcMar>
          </w:tcPr>
          <w:p>
            <w:pPr>
              <w:spacing w:before="80" w:after="80"/>
            </w:pPr>
            <w:r>
              <w:rPr>
                <w:sz w:val="19"/>
              </w:rPr>
              <w:t>Approved Project Charter</w:t>
            </w:r>
          </w:p>
        </w:tc>
      </w:tr>
      <w:tr>
        <w:tc>
          <w:tcPr>
            <w:tcW w:type="dxa" w:w="1728"/>
            <w:shd w:fill="F9FAFC"/>
            <w:tcMar>
              <w:top w:w="100" w:type="dxa"/>
              <w:bottom w:w="100" w:type="dxa"/>
              <w:left w:w="120" w:type="dxa"/>
              <w:right w:w="120" w:type="dxa"/>
            </w:tcMar>
          </w:tcPr>
          <w:p>
            <w:pPr>
              <w:spacing w:before="80" w:after="80"/>
            </w:pPr>
            <w:r>
              <w:rPr>
                <w:b/>
                <w:color w:val="0F2240"/>
                <w:sz w:val="19"/>
              </w:rPr>
              <w:t>Phase 2: Planning</w:t>
            </w:r>
          </w:p>
        </w:tc>
        <w:tc>
          <w:tcPr>
            <w:tcW w:type="dxa" w:w="3600"/>
            <w:shd w:fill="F9FAFC"/>
            <w:tcMar>
              <w:top w:w="100" w:type="dxa"/>
              <w:bottom w:w="100" w:type="dxa"/>
              <w:left w:w="120" w:type="dxa"/>
              <w:right w:w="120" w:type="dxa"/>
            </w:tcMar>
          </w:tcPr>
          <w:p>
            <w:pPr>
              <w:spacing w:before="80" w:after="80"/>
            </w:pPr>
            <w:r>
              <w:rPr>
                <w:sz w:val="19"/>
              </w:rPr>
              <w:t>Detailed WBS, Git setup, architectural &amp; database schema design.</w:t>
            </w:r>
          </w:p>
        </w:tc>
        <w:tc>
          <w:tcPr>
            <w:tcW w:type="dxa" w:w="1584"/>
            <w:shd w:fill="F9FAFC"/>
            <w:tcMar>
              <w:top w:w="100" w:type="dxa"/>
              <w:bottom w:w="100" w:type="dxa"/>
              <w:left w:w="120" w:type="dxa"/>
              <w:right w:w="120" w:type="dxa"/>
            </w:tcMar>
          </w:tcPr>
          <w:p>
            <w:pPr>
              <w:spacing w:before="80" w:after="80"/>
            </w:pPr>
            <w:r>
              <w:rPr>
                <w:sz w:val="19"/>
              </w:rPr>
              <w:t>Weeks 3–4</w:t>
            </w:r>
          </w:p>
        </w:tc>
        <w:tc>
          <w:tcPr>
            <w:tcW w:type="dxa" w:w="2448"/>
            <w:shd w:fill="F9FAFC"/>
            <w:tcMar>
              <w:top w:w="100" w:type="dxa"/>
              <w:bottom w:w="100" w:type="dxa"/>
              <w:left w:w="120" w:type="dxa"/>
              <w:right w:w="120" w:type="dxa"/>
            </w:tcMar>
          </w:tcPr>
          <w:p>
            <w:pPr>
              <w:spacing w:before="80" w:after="80"/>
            </w:pPr>
            <w:r>
              <w:rPr>
                <w:sz w:val="19"/>
              </w:rPr>
              <w:t>Complete Project Roadmap</w:t>
            </w:r>
          </w:p>
        </w:tc>
      </w:tr>
      <w:tr>
        <w:tc>
          <w:tcPr>
            <w:tcW w:type="dxa" w:w="1728"/>
            <w:shd w:fill="FFFFFF"/>
            <w:tcMar>
              <w:top w:w="100" w:type="dxa"/>
              <w:bottom w:w="100" w:type="dxa"/>
              <w:left w:w="120" w:type="dxa"/>
              <w:right w:w="120" w:type="dxa"/>
            </w:tcMar>
          </w:tcPr>
          <w:p>
            <w:pPr>
              <w:spacing w:before="80" w:after="80"/>
            </w:pPr>
            <w:r>
              <w:rPr>
                <w:b/>
                <w:color w:val="0F2240"/>
                <w:sz w:val="19"/>
              </w:rPr>
              <w:t>Phase 3: Execution</w:t>
            </w:r>
          </w:p>
        </w:tc>
        <w:tc>
          <w:tcPr>
            <w:tcW w:type="dxa" w:w="3600"/>
            <w:shd w:fill="FFFFFF"/>
            <w:tcMar>
              <w:top w:w="100" w:type="dxa"/>
              <w:bottom w:w="100" w:type="dxa"/>
              <w:left w:w="120" w:type="dxa"/>
              <w:right w:w="120" w:type="dxa"/>
            </w:tcMar>
          </w:tcPr>
          <w:p>
            <w:pPr>
              <w:spacing w:before="80" w:after="80"/>
            </w:pPr>
            <w:r>
              <w:rPr>
                <w:sz w:val="19"/>
              </w:rPr>
              <w:t>Environment setup, backend/frontend development, and API creation.</w:t>
            </w:r>
          </w:p>
        </w:tc>
        <w:tc>
          <w:tcPr>
            <w:tcW w:type="dxa" w:w="1584"/>
            <w:shd w:fill="FFFFFF"/>
            <w:tcMar>
              <w:top w:w="100" w:type="dxa"/>
              <w:bottom w:w="100" w:type="dxa"/>
              <w:left w:w="120" w:type="dxa"/>
              <w:right w:w="120" w:type="dxa"/>
            </w:tcMar>
          </w:tcPr>
          <w:p>
            <w:pPr>
              <w:spacing w:before="80" w:after="80"/>
            </w:pPr>
            <w:r>
              <w:rPr>
                <w:sz w:val="19"/>
              </w:rPr>
              <w:t>Weeks 5–11</w:t>
              <w:br/>
              <w:t>(7 weeks)</w:t>
            </w:r>
          </w:p>
        </w:tc>
        <w:tc>
          <w:tcPr>
            <w:tcW w:type="dxa" w:w="2448"/>
            <w:shd w:fill="FFFFFF"/>
            <w:tcMar>
              <w:top w:w="100" w:type="dxa"/>
              <w:bottom w:w="100" w:type="dxa"/>
              <w:left w:w="120" w:type="dxa"/>
              <w:right w:w="120" w:type="dxa"/>
            </w:tcMar>
          </w:tcPr>
          <w:p>
            <w:pPr>
              <w:spacing w:before="80" w:after="80"/>
            </w:pPr>
            <w:r>
              <w:rPr>
                <w:sz w:val="19"/>
              </w:rPr>
              <w:t>Stable Local Build</w:t>
            </w:r>
          </w:p>
        </w:tc>
      </w:tr>
      <w:tr>
        <w:tc>
          <w:tcPr>
            <w:tcW w:type="dxa" w:w="1728"/>
            <w:shd w:fill="F9FAFC"/>
            <w:tcMar>
              <w:top w:w="100" w:type="dxa"/>
              <w:bottom w:w="100" w:type="dxa"/>
              <w:left w:w="120" w:type="dxa"/>
              <w:right w:w="120" w:type="dxa"/>
            </w:tcMar>
          </w:tcPr>
          <w:p>
            <w:pPr>
              <w:spacing w:before="80" w:after="80"/>
            </w:pPr>
            <w:r>
              <w:rPr>
                <w:b/>
                <w:color w:val="0F2240"/>
                <w:sz w:val="19"/>
              </w:rPr>
              <w:t>Phase 4: Monitoring</w:t>
            </w:r>
          </w:p>
        </w:tc>
        <w:tc>
          <w:tcPr>
            <w:tcW w:type="dxa" w:w="3600"/>
            <w:shd w:fill="F9FAFC"/>
            <w:tcMar>
              <w:top w:w="100" w:type="dxa"/>
              <w:bottom w:w="100" w:type="dxa"/>
              <w:left w:w="120" w:type="dxa"/>
              <w:right w:w="120" w:type="dxa"/>
            </w:tcMar>
          </w:tcPr>
          <w:p>
            <w:pPr>
              <w:spacing w:before="80" w:after="80"/>
            </w:pPr>
            <w:r>
              <w:rPr>
                <w:sz w:val="19"/>
              </w:rPr>
              <w:t>Comprehensive testing (Unit, Integration), debugging, and performance optimization.</w:t>
            </w:r>
          </w:p>
        </w:tc>
        <w:tc>
          <w:tcPr>
            <w:tcW w:type="dxa" w:w="1584"/>
            <w:shd w:fill="F9FAFC"/>
            <w:tcMar>
              <w:top w:w="100" w:type="dxa"/>
              <w:bottom w:w="100" w:type="dxa"/>
              <w:left w:w="120" w:type="dxa"/>
              <w:right w:w="120" w:type="dxa"/>
            </w:tcMar>
          </w:tcPr>
          <w:p>
            <w:pPr>
              <w:spacing w:before="80" w:after="80"/>
            </w:pPr>
            <w:r>
              <w:rPr>
                <w:sz w:val="19"/>
              </w:rPr>
              <w:t>Weeks 12–14</w:t>
              <w:br/>
              <w:t>(3 weeks)</w:t>
            </w:r>
          </w:p>
        </w:tc>
        <w:tc>
          <w:tcPr>
            <w:tcW w:type="dxa" w:w="2448"/>
            <w:shd w:fill="F9FAFC"/>
            <w:tcMar>
              <w:top w:w="100" w:type="dxa"/>
              <w:bottom w:w="100" w:type="dxa"/>
              <w:left w:w="120" w:type="dxa"/>
              <w:right w:w="120" w:type="dxa"/>
            </w:tcMar>
          </w:tcPr>
          <w:p>
            <w:pPr>
              <w:spacing w:before="80" w:after="80"/>
            </w:pPr>
            <w:r>
              <w:rPr>
                <w:sz w:val="19"/>
              </w:rPr>
              <w:t>QA Sign-Off</w:t>
            </w:r>
          </w:p>
        </w:tc>
      </w:tr>
      <w:tr>
        <w:tc>
          <w:tcPr>
            <w:tcW w:type="dxa" w:w="1728"/>
            <w:shd w:fill="FFFFFF"/>
            <w:tcMar>
              <w:top w:w="100" w:type="dxa"/>
              <w:bottom w:w="100" w:type="dxa"/>
              <w:left w:w="120" w:type="dxa"/>
              <w:right w:w="120" w:type="dxa"/>
            </w:tcMar>
          </w:tcPr>
          <w:p>
            <w:pPr>
              <w:spacing w:before="80" w:after="80"/>
            </w:pPr>
            <w:r>
              <w:rPr>
                <w:b/>
                <w:color w:val="0F2240"/>
                <w:sz w:val="19"/>
              </w:rPr>
              <w:t>Phase 5: Closing</w:t>
            </w:r>
          </w:p>
        </w:tc>
        <w:tc>
          <w:tcPr>
            <w:tcW w:type="dxa" w:w="3600"/>
            <w:shd w:fill="FFFFFF"/>
            <w:tcMar>
              <w:top w:w="100" w:type="dxa"/>
              <w:bottom w:w="100" w:type="dxa"/>
              <w:left w:w="120" w:type="dxa"/>
              <w:right w:w="120" w:type="dxa"/>
            </w:tcMar>
          </w:tcPr>
          <w:p>
            <w:pPr>
              <w:spacing w:before="80" w:after="80"/>
            </w:pPr>
            <w:r>
              <w:rPr>
                <w:sz w:val="19"/>
              </w:rPr>
              <w:t>Live server deployment, API/ERD documentation, and final handover.</w:t>
            </w:r>
          </w:p>
        </w:tc>
        <w:tc>
          <w:tcPr>
            <w:tcW w:type="dxa" w:w="1584"/>
            <w:shd w:fill="FFFFFF"/>
            <w:tcMar>
              <w:top w:w="100" w:type="dxa"/>
              <w:bottom w:w="100" w:type="dxa"/>
              <w:left w:w="120" w:type="dxa"/>
              <w:right w:w="120" w:type="dxa"/>
            </w:tcMar>
          </w:tcPr>
          <w:p>
            <w:pPr>
              <w:spacing w:before="80" w:after="80"/>
            </w:pPr>
            <w:r>
              <w:rPr>
                <w:sz w:val="19"/>
              </w:rPr>
              <w:t>Weeks 15–16</w:t>
            </w:r>
          </w:p>
        </w:tc>
        <w:tc>
          <w:tcPr>
            <w:tcW w:type="dxa" w:w="2448"/>
            <w:shd w:fill="FFFFFF"/>
            <w:tcMar>
              <w:top w:w="100" w:type="dxa"/>
              <w:bottom w:w="100" w:type="dxa"/>
              <w:left w:w="120" w:type="dxa"/>
              <w:right w:w="120" w:type="dxa"/>
            </w:tcMar>
          </w:tcPr>
          <w:p>
            <w:pPr>
              <w:spacing w:before="80" w:after="80"/>
            </w:pPr>
            <w:r>
              <w:rPr>
                <w:sz w:val="19"/>
              </w:rPr>
              <w:t>Handover of Live System</w:t>
            </w:r>
          </w:p>
        </w:tc>
      </w:tr>
    </w:tbl>
    <w:p>
      <w:pPr>
        <w:spacing w:after="240"/>
      </w:pPr>
    </w:p>
    <w:tbl>
      <w:tblPr>
        <w:tblW w:type="auto" w:w="0"/>
        <w:jc w:val="center"/>
        <w:tblLook w:firstColumn="1" w:firstRow="1" w:lastColumn="0" w:lastRow="0" w:noHBand="0" w:noVBand="1" w:val="04A0"/>
      </w:tblPr>
      <w:tblGrid>
        <w:gridCol w:w="9360"/>
      </w:tblGrid>
      <w:tr>
        <w:tc>
          <w:tcPr>
            <w:tcW w:type="dxa" w:w="9360"/>
            <w:shd w:fill="FDFCFC"/>
            <w:tcMar>
              <w:top w:w="120" w:type="dxa"/>
              <w:bottom w:w="120" w:type="dxa"/>
              <w:left w:w="150" w:type="dxa"/>
              <w:right w:w="150" w:type="dxa"/>
            </w:tcMar>
            <w:tcBorders>
              <w:left w:val="single" w:sz="18" w:space="0" w:color="46505F"/>
              <w:top w:val="none"/>
              <w:bottom w:val="none"/>
              <w:right w:val="none"/>
            </w:tcBorders>
          </w:tcPr>
          <w:p>
            <w:pPr>
              <w:spacing w:after="0"/>
            </w:pPr>
            <w:r>
              <w:rPr>
                <w:b/>
                <w:color w:val="46505F"/>
              </w:rPr>
              <w:t xml:space="preserve">Note on Collaborative Standards: </w:t>
            </w:r>
            <w:r>
              <w:rPr>
                <w:i/>
              </w:rPr>
              <w:t>All development branches must be merged via Pull Requests. No developer is allowed to commit directly to the main or production branch without a peer-review approval from the other team member.</w:t>
            </w:r>
          </w:p>
        </w:tc>
      </w:tr>
    </w:tbl>
    <w:p>
      <w:pPr>
        <w:spacing w:before="600" w:after="0"/>
        <w:jc w:val="center"/>
      </w:pPr>
      <w:r>
        <w:rPr>
          <w:b/>
          <w:color w:val="46505F"/>
          <w:sz w:val="19"/>
        </w:rPr>
        <w:t>Specially prepared for Dotto Hamis Mtundu &amp; Antony Masaga</w:t>
        <w:br/>
      </w:r>
      <w:r>
        <w:rPr>
          <w:color w:val="46505F"/>
          <w:sz w:val="17"/>
        </w:rPr>
        <w:t>2026 Project Management &amp; Technical Specification Flow.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