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64" w:lineRule="auto"/>
        <w:jc w:val="left"/>
      </w:pPr>
      <w:r>
        <w:rPr>
          <w:rFonts w:ascii="Calibri" w:hAnsi="Calibri"/>
          <w:b/>
          <w:i w:val="0"/>
          <w:color w:val="B7831E"/>
          <w:sz w:val="22"/>
        </w:rPr>
        <w:t>ARCHITECTURE BLUEPRINT</w:t>
      </w:r>
    </w:p>
    <w:p>
      <w:pPr>
        <w:spacing w:after="140"/>
      </w:pPr>
      <w:r>
        <w:rPr>
          <w:rFonts w:ascii="Calibri" w:hAnsi="Calibri"/>
          <w:b/>
          <w:i w:val="0"/>
          <w:color w:val="0B2545"/>
          <w:sz w:val="68"/>
        </w:rPr>
        <w:t>aspgen</w:t>
      </w:r>
    </w:p>
    <w:p>
      <w:pPr>
        <w:spacing w:after="480"/>
      </w:pPr>
      <w:r>
        <w:rPr>
          <w:rFonts w:ascii="Calibri" w:hAnsi="Calibri"/>
          <w:b w:val="0"/>
          <w:i w:val="0"/>
          <w:color w:val="5B6573"/>
          <w:sz w:val="34"/>
        </w:rPr>
        <w:t>Gatewayed generation for scalable .NET systems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4200"/>
        <w:gridCol w:w="2560"/>
      </w:tblGrid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Audience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Architecture Blueprint</w:t>
            </w:r>
          </w:p>
        </w:tc>
        <w:tc>
          <w:tcPr>
            <w:tcW w:type="dxa" w:w="42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Engineering teams and maintainers</w:t>
            </w:r>
          </w:p>
        </w:tc>
        <w:tc>
          <w:tcPr>
            <w:tcW w:type="dxa" w:w="256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First release baseline</w:t>
            </w:r>
          </w:p>
        </w:tc>
      </w:tr>
    </w:tbl>
    <w:p>
      <w:pPr>
        <w:spacing w:before="0" w:after="160" w:line="264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THESIS  </w:t>
            </w:r>
            <w:r>
              <w:rPr>
                <w:rFonts w:ascii="Calibri" w:hAnsi="Calibri"/>
                <w:b w:val="0"/>
                <w:i w:val="0"/>
                <w:color w:val="182230"/>
                <w:sz w:val="21"/>
              </w:rPr>
              <w:t>aspgen is a controlled gateway: one command surface composes a project profile, records intent in a manifest, and emits only the layers that the selected architecture can own.</w:t>
            </w:r>
          </w:p>
        </w:tc>
      </w:tr>
    </w:tbl>
    <w:p>
      <w:pPr>
        <w:spacing w:before="0" w:after="80" w:line="264" w:lineRule="auto"/>
      </w:pP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182230"/>
          <w:sz w:val="22"/>
        </w:rPr>
        <w:t>This blueprint explains the theory behind the generator, the boundaries it protects, and three end-to-end paths from command to running application.</w:t>
      </w:r>
    </w:p>
    <w:p>
      <w:pPr>
        <w:spacing w:before="0" w:after="360" w:line="264" w:lineRule="auto"/>
      </w:pPr>
      <w:r>
        <w:rPr>
          <w:rFonts w:ascii="Calibri" w:hAnsi="Calibri"/>
          <w:b w:val="0"/>
          <w:i w:val="0"/>
          <w:color w:val="182230"/>
          <w:sz w:val="22"/>
        </w:rPr>
        <w:t>Prepared 03 August 2026  •  Based on the Architecture Theta ruleset</w:t>
      </w:r>
    </w:p>
    <w:p>
      <w:r>
        <w:br w:type="page"/>
      </w:r>
    </w:p>
    <w:p>
      <w:pPr>
        <w:pStyle w:val="Heading1"/>
      </w:pPr>
      <w:r>
        <w:t>1. Executive intent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230"/>
          <w:sz w:val="22"/>
        </w:rPr>
        <w:t>The generator is designed for teams that want speed without surrendering architectural ownership. It treats scaffolding as a bounded design activity: a profile selects the architectural grammar, a manifest records the decision, and incremental commands extend the same grammar without regenerating the whole solution.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 xml:space="preserve">DECISION  </w:t>
            </w:r>
            <w:r>
              <w:rPr>
                <w:rFonts w:ascii="Calibri" w:hAnsi="Calibri"/>
                <w:b w:val="0"/>
                <w:i w:val="0"/>
                <w:color w:val="182230"/>
                <w:sz w:val="21"/>
              </w:rPr>
              <w:t>The generator should optimize for safe composition, not maximum file output. A generated file that has no owning project is a defect, even if its template rendered successfully.</w:t>
            </w:r>
          </w:p>
        </w:tc>
      </w:tr>
    </w:tbl>
    <w:p>
      <w:pPr>
        <w:spacing w:before="0" w:after="80" w:line="264" w:lineRule="auto"/>
      </w:pP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Clean Architecture protects dependency direction: Domain &lt;- Application &lt;- Infrastructure &lt;- WebApi.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Vertical slices keep a feature's handler, validator, endpoint, and DTOs close together.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DDD makes contexts and aggregate roots explicit where business invariants justify the cost.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Prism modules keep desktop UI composition local, discoverable, and testable.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The simple profile is intentionally smaller: direct EF Core CRUD for Rails-like throughput.</w:t>
      </w:r>
    </w:p>
    <w:p>
      <w:pPr>
        <w:pStyle w:val="Heading1"/>
      </w:pPr>
      <w:r>
        <w:t>2. The gatewayed architecture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230"/>
          <w:sz w:val="22"/>
        </w:rPr>
        <w:t>A gatewayed generator is neither a passive template copier nor a full application framework. It is a policy boundary. Every command passes through four decisions: target application, backend profile, UI profile, and incremental state.</w:t>
      </w:r>
    </w:p>
    <w:p>
      <w:r>
        <w:drawing>
          <wp:inline xmlns:a="http://schemas.openxmlformats.org/drawingml/2006/main" xmlns:pic="http://schemas.openxmlformats.org/drawingml/2006/picture">
            <wp:extent cx="5943600" cy="270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w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/>
          <w:color w:val="5B6573"/>
          <w:sz w:val="18"/>
        </w:rPr>
        <w:t>Figure 1. The command gateway turns profile intent into an owned solution graph.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3500"/>
        <w:gridCol w:w="406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Gateway decision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Application</w:t>
            </w:r>
          </w:p>
        </w:tc>
        <w:tc>
          <w:tcPr>
            <w:tcW w:type="dxa" w:w="35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What host is being built?</w:t>
            </w:r>
          </w:p>
        </w:tc>
        <w:tc>
          <w:tcPr>
            <w:tcW w:type="dxa" w:w="406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webapi, wpf, blazor, or fullstack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Backend</w:t>
            </w:r>
          </w:p>
        </w:tc>
        <w:tc>
          <w:tcPr>
            <w:tcW w:type="dxa" w:w="35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How much architecture is justified?</w:t>
            </w:r>
          </w:p>
        </w:tc>
        <w:tc>
          <w:tcPr>
            <w:tcW w:type="dxa" w:w="40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simple Active Record or DDD/CQRS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UI</w:t>
            </w:r>
          </w:p>
        </w:tc>
        <w:tc>
          <w:tcPr>
            <w:tcW w:type="dxa" w:w="35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Which composition model owns screens?</w:t>
            </w:r>
          </w:p>
        </w:tc>
        <w:tc>
          <w:tcPr>
            <w:tcW w:type="dxa" w:w="406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Prism/DryIoc modules and MVVM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State</w:t>
            </w:r>
          </w:p>
        </w:tc>
        <w:tc>
          <w:tcPr>
            <w:tcW w:type="dxa" w:w="35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What already exists?</w:t>
            </w:r>
          </w:p>
        </w:tc>
        <w:tc>
          <w:tcPr>
            <w:tcW w:type="dxa" w:w="40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.aspgen/manifest.json and markers</w:t>
            </w:r>
          </w:p>
        </w:tc>
      </w:tr>
    </w:tbl>
    <w:p>
      <w:pPr>
        <w:spacing w:before="0" w:after="160" w:line="264" w:lineRule="auto"/>
      </w:pPr>
    </w:p>
    <w:p>
      <w:pPr>
        <w:pStyle w:val="Heading1"/>
      </w:pPr>
      <w:r>
        <w:t>3. Patterns and theory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230"/>
          <w:sz w:val="22"/>
        </w:rPr>
        <w:t>The generator combines patterns that solve different failure modes. The important design move is not to treat them as interchangeable: each pattern has a territory, and the gateway decides when that territory exists.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1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Pattern / theory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Problem addressed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Generator expression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Clean Architecture</w:t>
            </w:r>
          </w:p>
        </w:tc>
        <w:tc>
          <w:tcPr>
            <w:tcW w:type="dxa" w:w="315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Framework and persistence details leaking into policy</w:t>
            </w:r>
          </w:p>
        </w:tc>
        <w:tc>
          <w:tcPr>
            <w:tcW w:type="dxa" w:w="411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Project references point inward; Domain has no outward dependency.</w:t>
            </w:r>
          </w:p>
        </w:tc>
      </w:tr>
      <w:tr>
        <w:tc>
          <w:tcPr>
            <w:tcW w:type="dxa" w:w="21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DDD bounded context</w:t>
            </w:r>
          </w:p>
        </w:tc>
        <w:tc>
          <w:tcPr>
            <w:tcW w:type="dxa" w:w="315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A large model becoming an undifferentiated vocabulary</w:t>
            </w:r>
          </w:p>
        </w:tc>
        <w:tc>
          <w:tcPr>
            <w:tcW w:type="dxa" w:w="411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Contexts scope aggregates, repositories, services, and events.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Aggregate root</w:t>
            </w:r>
          </w:p>
        </w:tc>
        <w:tc>
          <w:tcPr>
            <w:tcW w:type="dxa" w:w="315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Invalid state being changed from arbitrary callers</w:t>
            </w:r>
          </w:p>
        </w:tc>
        <w:tc>
          <w:tcPr>
            <w:tcW w:type="dxa" w:w="411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Commands enter through the root and domain guards protect invariants.</w:t>
            </w:r>
          </w:p>
        </w:tc>
      </w:tr>
      <w:tr>
        <w:tc>
          <w:tcPr>
            <w:tcW w:type="dxa" w:w="21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CQRS + vertical slice</w:t>
            </w:r>
          </w:p>
        </w:tc>
        <w:tc>
          <w:tcPr>
            <w:tcW w:type="dxa" w:w="315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Features becoming cross-layer scavenger hunts</w:t>
            </w:r>
          </w:p>
        </w:tc>
        <w:tc>
          <w:tcPr>
            <w:tcW w:type="dxa" w:w="411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Each slice owns command/query, handler, validator, and endpoint.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Prism MVVM</w:t>
            </w:r>
          </w:p>
        </w:tc>
        <w:tc>
          <w:tcPr>
            <w:tcW w:type="dxa" w:w="315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Desktop views knowing application orchestration</w:t>
            </w:r>
          </w:p>
        </w:tc>
        <w:tc>
          <w:tcPr>
            <w:tcW w:type="dxa" w:w="411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Views bind to ViewModels; modules register navigation and regions.</w:t>
            </w:r>
          </w:p>
        </w:tc>
      </w:tr>
      <w:tr>
        <w:tc>
          <w:tcPr>
            <w:tcW w:type="dxa" w:w="21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Active Record</w:t>
            </w:r>
          </w:p>
        </w:tc>
        <w:tc>
          <w:tcPr>
            <w:tcW w:type="dxa" w:w="315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Overengineering a small CRUD surface</w:t>
            </w:r>
          </w:p>
        </w:tc>
        <w:tc>
          <w:tcPr>
            <w:tcW w:type="dxa" w:w="411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Simple models and direct EF endpoints reduce ceremony by design.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Progressive delivery</w:t>
            </w:r>
          </w:p>
        </w:tc>
        <w:tc>
          <w:tcPr>
            <w:tcW w:type="dxa" w:w="315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Regeneration destroying local work</w:t>
            </w:r>
          </w:p>
        </w:tc>
        <w:tc>
          <w:tcPr>
            <w:tcW w:type="dxa" w:w="411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Manifest-aware add commands mutate only the requested capability.</w:t>
            </w:r>
          </w:p>
        </w:tc>
      </w:tr>
    </w:tbl>
    <w:p>
      <w:pPr>
        <w:spacing w:before="0" w:after="160" w:line="264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B7831E"/>
                <w:sz w:val="21"/>
              </w:rPr>
              <w:t xml:space="preserve">RULE OF THUMB  </w:t>
            </w:r>
            <w:r>
              <w:rPr>
                <w:rFonts w:ascii="Calibri" w:hAnsi="Calibri"/>
                <w:b w:val="0"/>
                <w:i w:val="0"/>
                <w:color w:val="182230"/>
                <w:sz w:val="21"/>
              </w:rPr>
              <w:t>Use DDD when invariants and language boundaries are the product. Use the simple profile when CRUD throughput and low ceremony are the product. Do not use complexity as a substitute for a domain decision.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4. Blueprint of a generated solution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200"/>
        <w:gridCol w:w="536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Capability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Owned by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Typical generated artifacts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Domain</w:t>
            </w:r>
          </w:p>
        </w:tc>
        <w:tc>
          <w:tcPr>
            <w:tcW w:type="dxa" w:w="22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Domain project</w:t>
            </w:r>
          </w:p>
        </w:tc>
        <w:tc>
          <w:tcPr>
            <w:tcW w:type="dxa" w:w="536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Entities, aggregate behavior, guards, value objects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Application</w:t>
            </w:r>
          </w:p>
        </w:tc>
        <w:tc>
          <w:tcPr>
            <w:tcW w:type="dxa" w:w="22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Application project</w:t>
            </w:r>
          </w:p>
        </w:tc>
        <w:tc>
          <w:tcPr>
            <w:tcW w:type="dxa" w:w="53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Commands, queries, handlers, validators, Result&lt;T&gt;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Infrastructure</w:t>
            </w:r>
          </w:p>
        </w:tc>
        <w:tc>
          <w:tcPr>
            <w:tcW w:type="dxa" w:w="22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Infrastructure project</w:t>
            </w:r>
          </w:p>
        </w:tc>
        <w:tc>
          <w:tcPr>
            <w:tcW w:type="dxa" w:w="536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EF Core context, repositories, audit interceptor, SQLite by default / PostgreSQL opt-in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HTTP host</w:t>
            </w:r>
          </w:p>
        </w:tc>
        <w:tc>
          <w:tcPr>
            <w:tcW w:type="dxa" w:w="22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WebApi project</w:t>
            </w:r>
          </w:p>
        </w:tc>
        <w:tc>
          <w:tcPr>
            <w:tcW w:type="dxa" w:w="53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Minimal API endpoints, OpenAPI, Scalar, health checks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Desktop UI</w:t>
            </w:r>
          </w:p>
        </w:tc>
        <w:tc>
          <w:tcPr>
            <w:tcW w:type="dxa" w:w="22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Desktop project</w:t>
            </w:r>
          </w:p>
        </w:tc>
        <w:tc>
          <w:tcPr>
            <w:tcW w:type="dxa" w:w="536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Prism modules, views, ViewModels, typed events, API stores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Manifest</w:t>
            </w:r>
          </w:p>
        </w:tc>
        <w:tc>
          <w:tcPr>
            <w:tcW w:type="dxa" w:w="22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.aspgen directory</w:t>
            </w:r>
          </w:p>
        </w:tc>
        <w:tc>
          <w:tcPr>
            <w:tcW w:type="dxa" w:w="53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Project identity, components, contexts, backend and seed profile</w:t>
            </w:r>
          </w:p>
        </w:tc>
      </w:tr>
    </w:tbl>
    <w:p>
      <w:pPr>
        <w:spacing w:before="0" w:after="16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230"/>
          <w:sz w:val="22"/>
        </w:rPr>
        <w:t>The solution file lists projects; SDK-style project files automatically include source and XAML below those project roots. The generator therefore treats project ownership—not manual file enumeration—as the visibility invariant.</w:t>
      </w:r>
    </w:p>
    <w:p>
      <w:pPr>
        <w:pStyle w:val="Heading1"/>
      </w:pPr>
      <w:r>
        <w:t>5. Three examples</w:t>
      </w:r>
    </w:p>
    <w:p>
      <w:pPr>
        <w:pStyle w:val="Heading2"/>
      </w:pPr>
      <w:r>
        <w:t>Example A — Simple fullstack with dummy data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230"/>
          <w:sz w:val="22"/>
        </w:rPr>
        <w:t>Use this path for a classic CRUD product, internal tool, or prototype where the shortest safe path to a working screen matters more than domain ceremony.</w:t>
      </w:r>
    </w:p>
    <w:p>
      <w:pPr>
        <w:spacing w:before="80" w:after="180" w:line="240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273444"/>
          <w:sz w:val="18"/>
        </w:rPr>
        <w:t>aspgen new Library --app fullstack --simple --seed:dummy --theme:wpfui</w:t>
        <w:br/>
        <w:t>aspgen add entity Book title:string author:string pages:int published:date available:bool --project Library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230"/>
          <w:sz w:val="22"/>
        </w:rPr>
        <w:t>The gateway emits one Web API project and one Desktop project. The entity becomes an EF Core model, direct CRUD endpoints, a WPF module, and three deterministic sample records created at API startup.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Layer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WebApi</w:t>
            </w:r>
          </w:p>
        </w:tc>
        <w:tc>
          <w:tcPr>
            <w:tcW w:type="dxa" w:w="756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Models/Book.cs, Data/AppDbContext.cs, Features/Book/BookEndpoints.cs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Desktop</w:t>
            </w:r>
          </w:p>
        </w:tc>
        <w:tc>
          <w:tcPr>
            <w:tcW w:type="dxa" w:w="75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Modules/Book with list/edit form and API-backed store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Seed</w:t>
            </w:r>
          </w:p>
        </w:tc>
        <w:tc>
          <w:tcPr>
            <w:tcW w:type="dxa" w:w="756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Data/DatabaseSeeder.cs with typed sample values</w:t>
            </w:r>
          </w:p>
        </w:tc>
      </w:tr>
    </w:tbl>
    <w:p>
      <w:pPr>
        <w:spacing w:before="0" w:after="160" w:line="264" w:lineRule="auto"/>
      </w:pPr>
    </w:p>
    <w:p>
      <w:pPr>
        <w:pStyle w:val="Heading2"/>
      </w:pPr>
      <w:r>
        <w:t>Example B — DDD/CQRS fullstack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230"/>
          <w:sz w:val="22"/>
        </w:rPr>
        <w:t>Use this path when the entity carries business meaning, invariants, and a lifecycle that should remain explicit. The backend is split into Domain, Application, Infrastructure, and WebApi projects.</w:t>
      </w:r>
    </w:p>
    <w:p>
      <w:pPr>
        <w:spacing w:before="80" w:after="180" w:line="240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273444"/>
          <w:sz w:val="18"/>
        </w:rPr>
        <w:t>aspgen new Commerce --app fullstack --backend:ddd --seed dummy</w:t>
        <w:br/>
        <w:t>aspgen add entity Order customerName:string total:decimal submitted:datetime paid:bool --project Commerce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230"/>
          <w:sz w:val="22"/>
        </w:rPr>
        <w:t>The entity command produces a repository contract, EF repository, DbSet registration, separate CQRS commands and queries, FluentValidation, Minimal API endpoints, a WPF module, and startup seed data. Handler discovery registers IHandler&lt;TRequest,TResponse&gt; implementations automatically.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 xml:space="preserve">DEPENDENCY TEST  </w:t>
            </w:r>
            <w:r>
              <w:rPr>
                <w:rFonts w:ascii="Calibri" w:hAnsi="Calibri"/>
                <w:b w:val="0"/>
                <w:i w:val="0"/>
                <w:color w:val="182230"/>
                <w:sz w:val="21"/>
              </w:rPr>
              <w:t>A generated DDD project is healthy only when Domain compiles without Application or Infrastructure references, and the WebApi host composes the layers at the edge.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</w:pPr>
      <w:r>
        <w:t>Example C — Add UI to an existing Web API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230"/>
          <w:sz w:val="22"/>
        </w:rPr>
        <w:t>Use incremental generation when the server exists first or when a team wants to introduce desktop workflows without regenerating backend work.</w:t>
      </w:r>
    </w:p>
    <w:p>
      <w:pPr>
        <w:spacing w:before="80" w:after="180" w:line="240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273444"/>
          <w:sz w:val="18"/>
        </w:rPr>
        <w:t>aspgen new Operations --app webapi --backend ddd</w:t>
        <w:br/>
        <w:t>aspgen add entity Person name:string active:bool --project Operations</w:t>
        <w:br/>
        <w:t>aspgen add ui --theme:wpfui --project Operations</w:t>
        <w:br/>
        <w:t>aspgen add module Reports --project Operations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230"/>
          <w:sz w:val="22"/>
        </w:rPr>
        <w:t>The UI command renders the Desktop project, rewrites the solution membership, and preserves the existing Web API project graph. The module command then adds a Prism module and registers it in App.xaml.cs. No unrelated layers are regenerated.</w:t>
      </w:r>
    </w:p>
    <w:p>
      <w:pPr>
        <w:pStyle w:val="Heading1"/>
      </w:pPr>
      <w:r>
        <w:t>6. Runtime flow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230"/>
          <w:sz w:val="22"/>
        </w:rPr>
        <w:t>The same architectural idea appears at runtime: the request crosses a narrow gateway, enters a local slice, applies a domain rule, and reaches persistence only through an owned abstraction.</w:t>
      </w:r>
    </w:p>
    <w:p>
      <w:r>
        <w:drawing>
          <wp:inline xmlns:a="http://schemas.openxmlformats.org/drawingml/2006/main" xmlns:pic="http://schemas.openxmlformats.org/drawingml/2006/picture">
            <wp:extent cx="5943600" cy="2047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/>
          <w:color w:val="5B6573"/>
          <w:sz w:val="18"/>
        </w:rPr>
        <w:t>Figure 2. Runtime flow from UI or HTTP boundary to persistence and back.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Map transport input into a request record or ViewModel form model.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Validate at the application boundary; keep endpoint code thin.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Execute a handler or API store operation with async database/HTTP calls.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Enforce invariants in the aggregate or domain entity when DDD is selected.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Return Result&lt;T&gt;, a typed response, or an appropriate HTTP status code.</w:t>
      </w:r>
    </w:p>
    <w:p>
      <w:pPr>
        <w:pStyle w:val="Heading1"/>
      </w:pPr>
      <w:r>
        <w:t>7. Incremental safety model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230"/>
          <w:sz w:val="22"/>
        </w:rPr>
        <w:t>Incremental generation is a controlled mutation protocol. The manifest answers what the project is; marker comments answer where a new registration belongs; filesystem tests answer whether the output has an owner.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3400"/>
        <w:gridCol w:w="37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Safety mechanism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Why it exists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Failure prevented</w:t>
            </w:r>
          </w:p>
        </w:tc>
      </w:tr>
      <w:tr>
        <w:tc>
          <w:tcPr>
            <w:tcW w:type="dxa" w:w="22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Manifest components</w:t>
            </w:r>
          </w:p>
        </w:tc>
        <w:tc>
          <w:tcPr>
            <w:tcW w:type="dxa" w:w="34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Persist selected profiles and generated capabilities</w:t>
            </w:r>
          </w:p>
        </w:tc>
        <w:tc>
          <w:tcPr>
            <w:tcW w:type="dxa" w:w="376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A DDD command being applied to a simple project</w:t>
            </w:r>
          </w:p>
        </w:tc>
      </w:tr>
      <w:tr>
        <w:tc>
          <w:tcPr>
            <w:tcW w:type="dxa" w:w="22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Host markers</w:t>
            </w:r>
          </w:p>
        </w:tc>
        <w:tc>
          <w:tcPr>
            <w:tcW w:type="dxa" w:w="34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Insert registrations deterministically</w:t>
            </w:r>
          </w:p>
        </w:tc>
        <w:tc>
          <w:tcPr>
            <w:tcW w:type="dxa" w:w="37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Duplicate or misplaced endpoint/module registrations</w:t>
            </w:r>
          </w:p>
        </w:tc>
      </w:tr>
      <w:tr>
        <w:tc>
          <w:tcPr>
            <w:tcW w:type="dxa" w:w="22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Refuse overwrite</w:t>
            </w:r>
          </w:p>
        </w:tc>
        <w:tc>
          <w:tcPr>
            <w:tcW w:type="dxa" w:w="34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Protect user-owned files by default</w:t>
            </w:r>
          </w:p>
        </w:tc>
        <w:tc>
          <w:tcPr>
            <w:tcW w:type="dxa" w:w="376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Silent loss of local implementation</w:t>
            </w:r>
          </w:p>
        </w:tc>
      </w:tr>
      <w:tr>
        <w:tc>
          <w:tcPr>
            <w:tcW w:type="dxa" w:w="22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Project ownership tests</w:t>
            </w:r>
          </w:p>
        </w:tc>
        <w:tc>
          <w:tcPr>
            <w:tcW w:type="dxa" w:w="34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Verify paths against actual solution roots</w:t>
            </w:r>
          </w:p>
        </w:tc>
        <w:tc>
          <w:tcPr>
            <w:tcW w:type="dxa" w:w="37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Orphan Domain files in WPF-only projects</w:t>
            </w:r>
          </w:p>
        </w:tc>
      </w:tr>
      <w:tr>
        <w:tc>
          <w:tcPr>
            <w:tcW w:type="dxa" w:w="22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Generated build checks</w:t>
            </w:r>
          </w:p>
        </w:tc>
        <w:tc>
          <w:tcPr>
            <w:tcW w:type="dxa" w:w="34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Compile representative outputs</w:t>
            </w:r>
          </w:p>
        </w:tc>
        <w:tc>
          <w:tcPr>
            <w:tcW w:type="dxa" w:w="376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Stale DI registrations and template drift</w:t>
            </w:r>
          </w:p>
        </w:tc>
      </w:tr>
    </w:tbl>
    <w:p>
      <w:pPr>
        <w:spacing w:before="0" w:after="160" w:line="264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 xml:space="preserve">QUALITY GATE  </w:t>
            </w:r>
            <w:r>
              <w:rPr>
                <w:rFonts w:ascii="Calibri" w:hAnsi="Calibri"/>
                <w:b w:val="0"/>
                <w:i w:val="0"/>
                <w:color w:val="182230"/>
                <w:sz w:val="21"/>
              </w:rPr>
              <w:t>A scaffold is not complete when the command exits successfully. It is complete when the generated files have an owning project, the solution includes that project, and the representative output builds.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8. Recommended operating model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Choose the smallest profile that can express the current use case.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Generate the host and backend once; add entities and modules incrementally.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Run migrations and database updates as an explicit deployment step.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Treat --seed:dummy as development-only data; do not enable it for production environments.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Keep custom changes in source files and use exported templates for organization-wide defaults.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Run go test ./..., go vet ./..., template validation, and at least one generated dotnet build before release.</w:t>
      </w:r>
    </w:p>
    <w:p>
      <w:pPr>
        <w:pStyle w:val="Heading1"/>
      </w:pPr>
      <w:r>
        <w:t>9. Closing theory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230"/>
          <w:sz w:val="22"/>
        </w:rPr>
        <w:t>The architecture is intentionally asymmetric. Domain code is conservative and inward-facing; WebApi and WPF are composition edges; the generator itself is a policy gateway that keeps those edges aligned. This makes the system scalable in two directions: simple projects can stay simple, while domain-heavy projects can grow without abandoning the same command vocabulary.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NORTH STAR  </w:t>
            </w:r>
            <w:r>
              <w:rPr>
                <w:rFonts w:ascii="Calibri" w:hAnsi="Calibri"/>
                <w:b w:val="0"/>
                <w:i w:val="0"/>
                <w:color w:val="182230"/>
                <w:sz w:val="21"/>
              </w:rPr>
              <w:t>Generate less, own more: every emitted file should have a reason, a project, a boundary, and a path back to a tested runtime behavior.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Appendix — profile quick reference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2760"/>
        <w:gridCol w:w="4000"/>
      </w:tblGrid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Command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Best fit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result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new NAME --app webapi</w:t>
            </w:r>
          </w:p>
        </w:tc>
        <w:tc>
          <w:tcPr>
            <w:tcW w:type="dxa" w:w="276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Clean server baseline</w:t>
            </w:r>
          </w:p>
        </w:tc>
        <w:tc>
          <w:tcPr>
            <w:tcW w:type="dxa" w:w="40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Domain/Application/Infrastructure/WebApi</w:t>
            </w:r>
          </w:p>
        </w:tc>
      </w:tr>
      <w:tr>
        <w:tc>
          <w:tcPr>
            <w:tcW w:type="dxa" w:w="26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new NAME --simple</w:t>
            </w:r>
          </w:p>
        </w:tc>
        <w:tc>
          <w:tcPr>
            <w:tcW w:type="dxa" w:w="27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Classic CRUD</w:t>
            </w:r>
          </w:p>
        </w:tc>
        <w:tc>
          <w:tcPr>
            <w:tcW w:type="dxa" w:w="40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Single EF Core WebApi project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new NAME --backend ddd</w:t>
            </w:r>
          </w:p>
        </w:tc>
        <w:tc>
          <w:tcPr>
            <w:tcW w:type="dxa" w:w="276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Business-rich domain</w:t>
            </w:r>
          </w:p>
        </w:tc>
        <w:tc>
          <w:tcPr>
            <w:tcW w:type="dxa" w:w="40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DDD + CQRS + SQLite API; PostgreSQL opt-in</w:t>
            </w:r>
          </w:p>
        </w:tc>
      </w:tr>
      <w:tr>
        <w:tc>
          <w:tcPr>
            <w:tcW w:type="dxa" w:w="26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new NAME --app wpf</w:t>
            </w:r>
          </w:p>
        </w:tc>
        <w:tc>
          <w:tcPr>
            <w:tcW w:type="dxa" w:w="27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Desktop-first</w:t>
            </w:r>
          </w:p>
        </w:tc>
        <w:tc>
          <w:tcPr>
            <w:tcW w:type="dxa" w:w="40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Prism/DryIoc WPF shell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add ui</w:t>
            </w:r>
          </w:p>
        </w:tc>
        <w:tc>
          <w:tcPr>
            <w:tcW w:type="dxa" w:w="276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Web API first, desktop later</w:t>
            </w:r>
          </w:p>
        </w:tc>
        <w:tc>
          <w:tcPr>
            <w:tcW w:type="dxa" w:w="40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Desktop project added to solution</w:t>
            </w:r>
          </w:p>
        </w:tc>
      </w:tr>
      <w:tr>
        <w:tc>
          <w:tcPr>
            <w:tcW w:type="dxa" w:w="26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add entity</w:t>
            </w:r>
          </w:p>
        </w:tc>
        <w:tc>
          <w:tcPr>
            <w:tcW w:type="dxa" w:w="27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Vertical slice increment</w:t>
            </w:r>
          </w:p>
        </w:tc>
        <w:tc>
          <w:tcPr>
            <w:tcW w:type="dxa" w:w="400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Backend CRUD, WPF module, or both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--seed dummy</w:t>
            </w:r>
          </w:p>
        </w:tc>
        <w:tc>
          <w:tcPr>
            <w:tcW w:type="dxa" w:w="276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Development demo data</w:t>
            </w:r>
          </w:p>
        </w:tc>
        <w:tc>
          <w:tcPr>
            <w:tcW w:type="dxa" w:w="40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230"/>
                <w:sz w:val="18"/>
              </w:rPr>
              <w:t>Typed deterministic startup records</w:t>
            </w:r>
          </w:p>
        </w:tc>
      </w:tr>
    </w:tbl>
    <w:p>
      <w:pPr>
        <w:spacing w:before="0" w:after="160" w:line="264" w:lineRule="auto"/>
      </w:pP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182230"/>
          <w:sz w:val="22"/>
        </w:rPr>
        <w:t>Reference basis: Architecture Theta in doc/architecture-theta.md; Prism WPF conventions; Clean Architecture, DDD, CQRS, Vertical Slice, MVVM, and Active Record patterns.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7"/>
      </w:rPr>
      <w:t>Architecture Theta  • 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B6573"/>
        <w:sz w:val="17"/>
      </w:rPr>
      <w:t>aspgen  |  Architecture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aspgen Architecture Blueprint</dc:title>
  <dc:subject>Gatewayed architecture for generated .NET and Prism applications</dc:subject>
  <dc:creator>aspgen Architecture Theta</dc:creator>
  <cp:keywords>aspgen, Clean Architecture, DDD, CQRS, Prism, WPF, scaffolding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