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8nnkcf2jq29p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Diego Robert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dqzi0vmedcss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situaciones problemáticas  de la vida cotidiana, ámbito científico y mundo laboral, utilizando operatoria matemática básica, relaciones proporcionales y álgebra básica.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situaciones problemáticas  de la vida cotidiana, ámbito científico y mundo laboral, utilizando elementos de la estadística descriptiva.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Comunicar en forma oral y escrita diferentes mensajes, utilizando herramientas lingüísticas funcionales con propósitos específicos en diversos contextos sociolaborales y disciplinares.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Comunicarse de forma oral y escrita usando el idioma inglés en situaciones socio-laborales a un nivel intermedio alto en modalidad intensiva, según la tabla de competencias TOEIC Y CEFR.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Comunicarse  usando el idioma inglés en situaciones laborales a un nivel intermedio, relacionado con el área de informática y desarrollo de  habilidades comunicativas, según la tabla de competencias TOEIC y CEFR.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Capacidad para generar ideas, soluciones o procesos innovadores que respondan a oportunidades, necesidades y demandas productivas o sociales, en colaboración con otros y asumiendo riesgos calculados.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proyectos de emprendimiento a partir de la identificación de oportunidades desde su especialidad, aplicando técnicas afines al objetivo, con foco en agregar valor al entorno.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Administrar la configuración de ambientes, servicios de aplicaciones y bases de datos en un entorno empresarial a fin de habilitar operatividad o asegurar la continuidad de los sistemas que apoyan los procesos de negocio de acuerdo a los estándares definidos por la industria.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Ofrecer propuestas de solución informática analizando de forma integral los procesos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para soportar los requerimientos de la organización acuerdo a un diseño definido y escalable en el tiempo.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Programar consultas o rutinas para manipular información de una base de datos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el modelo arquitectónico de una solución sistémica que soporte los procesos de negocio de acuerdo los requerimientos de la organización y estándares industria.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Implementar soluciones sistémicas integrales para automatizar u optimizar procesos de negocio de acuerdo a las necesidades de la organización.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las vulnerabilidades sistémicas para asegurar que el software construido cumple las normas de seguridad exigidas por la industria.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informáticos, ofreciendo alternativas para la toma de decisiones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B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la transformación de grandes volúmenes de datos para la obtención de información y conocimiento de la organización a fin de apoyar la toma de decisiones y la mejora de los procesos de negocio, de acuerdo a las necesidades de la organización.</w:t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-683890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00" y="3684750"/>
                        <a:ext cx="7753350" cy="190500"/>
                        <a:chOff x="1469300" y="3684750"/>
                        <a:chExt cx="7753375" cy="19050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84750"/>
                          <a:chExt cx="7753375" cy="1905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84750"/>
                            <a:ext cx="775337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1469325" y="3684625"/>
                            <a:chExt cx="7753350" cy="190625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469325" y="3684625"/>
                              <a:ext cx="7753350" cy="190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469325" y="3684750"/>
                              <a:ext cx="7753350" cy="190500"/>
                              <a:chOff x="1469325" y="3679975"/>
                              <a:chExt cx="7753375" cy="195275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1469325" y="3679975"/>
                                <a:ext cx="7753375" cy="195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469325" y="3684750"/>
                                <a:ext cx="7753350" cy="190500"/>
                                <a:chOff x="0" y="14970"/>
                                <a:chExt cx="12255" cy="30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0" y="14970"/>
                                  <a:ext cx="12250" cy="3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0" name="Shape 10"/>
                              <wps:spPr>
                                <a:xfrm>
                                  <a:off x="10803" y="14982"/>
                                  <a:ext cx="659" cy="28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Calibri" w:cs="Calibri" w:eastAsia="Calibri" w:hAnsi="Calibri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8c8c8c"/>
                                        <w:sz w:val="22"/>
                                        <w:vertAlign w:val="baseline"/>
                                      </w:rPr>
                                      <w:t xml:space="preserve">0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 flipH="1">
                                  <a:off x="0" y="14970"/>
                                  <a:ext cx="12255" cy="230"/>
                                  <a:chOff x="-8" y="14978"/>
                                  <a:chExt cx="12255" cy="230"/>
                                </a:xfrm>
                              </wpg:grpSpPr>
                              <wps:wsp>
                                <wps:cNvCnPr/>
                                <wps:spPr>
                                  <a:xfrm flipH="1" rot="10800000">
                                    <a:off x="-8" y="14978"/>
                                    <a:ext cx="1260" cy="230"/>
                                  </a:xfrm>
                                  <a:prstGeom prst="bentConnector3">
                                    <a:avLst>
                                      <a:gd fmla="val 50000" name="adj1"/>
                                    </a:avLst>
                                  </a:prstGeom>
                                  <a:noFill/>
                                  <a:ln cap="flat" cmpd="sng" w="9525">
                                    <a:solidFill>
                                      <a:srgbClr val="A5A5A5"/>
                                    </a:solidFill>
                                    <a:prstDash val="solid"/>
                                    <a:miter lim="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 rot="10800000">
                                    <a:off x="1252" y="14978"/>
                                    <a:ext cx="10995" cy="230"/>
                                  </a:xfrm>
                                  <a:prstGeom prst="bentConnector3">
                                    <a:avLst>
                                      <a:gd fmla="val 96778" name="adj1"/>
                                    </a:avLst>
                                  </a:prstGeom>
                                  <a:noFill/>
                                  <a:ln cap="flat" cmpd="sng" w="9525">
                                    <a:solidFill>
                                      <a:srgbClr val="A5A5A5"/>
                                    </a:solidFill>
                                    <a:prstDash val="solid"/>
                                    <a:miter lim="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-683890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C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4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C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C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C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kxIo3+z8+VOGMu9ggfEhavw8Ug==">CgMxLjAyDmguOG5ua2NmMmpxMjlwMg5oLmRxemkwdm1lZGNzczgAciExRWgwZzJYU1hlWTNiaDFyTjdjaWNQaXpwZFE5SjJBUlI=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