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200" w:line="288" w:lineRule="auto"/>
        <w:jc w:val="center"/>
      </w:pPr>
      <w:r>
        <w:rPr>
          <w:rFonts w:ascii="Microsoft YaHei" w:hAnsi="Microsoft YaHei" w:eastAsia="Microsoft YaHei"/>
          <w:b/>
          <w:color w:val="17375E"/>
          <w:sz w:val="48"/>
        </w:rPr>
        <w:t>水网认知智能产品发布会</w:t>
      </w:r>
    </w:p>
    <w:p>
      <w:pPr>
        <w:spacing w:before="0" w:after="240" w:line="288" w:lineRule="auto"/>
        <w:jc w:val="center"/>
      </w:pPr>
      <w:r>
        <w:rPr>
          <w:rFonts w:ascii="Microsoft YaHei" w:hAnsi="Microsoft YaHei" w:eastAsia="Microsoft YaHei"/>
          <w:b/>
          <w:color w:val="2F5597"/>
          <w:sz w:val="36"/>
        </w:rPr>
        <w:t>实施方案（建议稿）</w:t>
      </w:r>
    </w:p>
    <w:p>
      <w:pPr>
        <w:spacing w:before="0" w:after="120" w:line="324" w:lineRule="auto"/>
        <w:jc w:val="center"/>
      </w:pPr>
      <w:r>
        <w:rPr>
          <w:rFonts w:ascii="Microsoft YaHei" w:hAnsi="Microsoft YaHei" w:eastAsia="Microsoft YaHei"/>
          <w:color w:val="444444"/>
          <w:sz w:val="23"/>
        </w:rPr>
        <w:t>依托“节水AI智能体与人才培养专题分会场”初步方案深化设计</w:t>
      </w:r>
    </w:p>
    <w:p>
      <w:pPr>
        <w:spacing w:before="0" w:after="120" w:line="324" w:lineRule="auto"/>
        <w:jc w:val="center"/>
      </w:pPr>
      <w:r>
        <w:rPr>
          <w:rFonts w:ascii="Microsoft YaHei" w:hAnsi="Microsoft YaHei" w:eastAsia="Microsoft YaHei"/>
          <w:color w:val="444444"/>
          <w:sz w:val="23"/>
        </w:rPr>
        <w:t>定位：既能发布产品、又能制造传播、还能带动合作转化的发布型会议</w:t>
      </w:r>
    </w:p>
    <w:p>
      <w:pPr>
        <w:spacing w:before="0" w:after="120" w:line="324" w:lineRule="auto"/>
        <w:jc w:val="center"/>
      </w:pPr>
      <w:r>
        <w:rPr>
          <w:rFonts w:ascii="Microsoft YaHei" w:hAnsi="Microsoft YaHei" w:eastAsia="Microsoft YaHei"/>
          <w:color w:val="444444"/>
          <w:sz w:val="23"/>
        </w:rPr>
        <w:t>建议主题：从数字孪生到认知智能——水网自主运行新范式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7370"/>
            <w:shd w:fill="D9EAF7"/>
            <w:tcMar>
              <w:top w:w="60" w:type="dxa"/>
              <w:start w:w="180" w:type="dxa"/>
              <w:bottom w:w="60" w:type="dxa"/>
              <w:end w:w="180" w:type="dxa"/>
            </w:tcMar>
          </w:tcPr>
          <w:p>
            <w:pPr>
              <w:spacing w:before="40" w:after="4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F3B63"/>
                <w:sz w:val="25"/>
              </w:rPr>
              <w:t>发布口号：让每一条河流都有自己的AI大脑</w:t>
            </w:r>
          </w:p>
        </w:tc>
      </w:tr>
    </w:tbl>
    <w:p/>
    <w:p/>
    <w:p/>
    <w:p/>
    <w:p/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814"/>
            <w:shd w:fill="EAF2F8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color w:val="333333"/>
                <w:sz w:val="21"/>
              </w:rPr>
              <w:t>适用场景</w:t>
            </w:r>
          </w:p>
        </w:tc>
        <w:tc>
          <w:tcPr>
            <w:tcW w:type="dxa" w:w="6236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333333"/>
                <w:sz w:val="21"/>
              </w:rPr>
              <w:t>2026节水产业创新发展大会第七分会场产品发布</w:t>
            </w:r>
          </w:p>
        </w:tc>
      </w:tr>
      <w:tr>
        <w:tc>
          <w:tcPr>
            <w:tcW w:type="dxa" w:w="1814"/>
            <w:shd w:fill="EAF2F8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color w:val="333333"/>
                <w:sz w:val="21"/>
              </w:rPr>
              <w:t>建议时间</w:t>
            </w:r>
          </w:p>
        </w:tc>
        <w:tc>
          <w:tcPr>
            <w:tcW w:type="dxa" w:w="6236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333333"/>
                <w:sz w:val="21"/>
              </w:rPr>
              <w:t>2026年4月25日 14:00-17:50</w:t>
            </w:r>
          </w:p>
        </w:tc>
      </w:tr>
      <w:tr>
        <w:tc>
          <w:tcPr>
            <w:tcW w:type="dxa" w:w="1814"/>
            <w:shd w:fill="EAF2F8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color w:val="333333"/>
                <w:sz w:val="21"/>
              </w:rPr>
              <w:t>建议地点</w:t>
            </w:r>
          </w:p>
        </w:tc>
        <w:tc>
          <w:tcPr>
            <w:tcW w:type="dxa" w:w="6236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333333"/>
                <w:sz w:val="21"/>
              </w:rPr>
              <w:t>河北工程大学</w:t>
            </w:r>
          </w:p>
        </w:tc>
      </w:tr>
      <w:tr>
        <w:tc>
          <w:tcPr>
            <w:tcW w:type="dxa" w:w="1814"/>
            <w:shd w:fill="EAF2F8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color w:val="333333"/>
                <w:sz w:val="21"/>
              </w:rPr>
              <w:t>文档用途</w:t>
            </w:r>
          </w:p>
        </w:tc>
        <w:tc>
          <w:tcPr>
            <w:tcW w:type="dxa" w:w="6236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333333"/>
                <w:sz w:val="21"/>
              </w:rPr>
              <w:t>供主办方、承办方、主持团队、执行团队统一组织实施使用</w:t>
            </w:r>
          </w:p>
        </w:tc>
      </w:tr>
    </w:tbl>
    <w:p>
      <w:r>
        <w:br w:type="page"/>
      </w:r>
    </w:p>
    <w:p>
      <w:pPr>
        <w:spacing w:before="200" w:after="160" w:line="264" w:lineRule="auto"/>
      </w:pPr>
      <w:r>
        <w:rPr>
          <w:rFonts w:ascii="Microsoft YaHei" w:hAnsi="Microsoft YaHei" w:eastAsia="Microsoft YaHei"/>
          <w:b/>
          <w:color w:val="17375E"/>
          <w:sz w:val="32"/>
        </w:rPr>
        <w:t>一、方案总述</w:t>
      </w:r>
    </w:p>
    <w:p>
      <w:pPr>
        <w:spacing w:before="0" w:after="100" w:line="348" w:lineRule="auto"/>
        <w:ind w:firstLine="420"/>
      </w:pPr>
      <w:r>
        <w:rPr>
          <w:rFonts w:ascii="Microsoft YaHei" w:hAnsi="Microsoft YaHei" w:eastAsia="Microsoft YaHei"/>
          <w:b w:val="0"/>
          <w:color w:val="333333"/>
          <w:sz w:val="21"/>
        </w:rPr>
        <w:t>本方案在用户提供的《节水AI智能体与人才培养专题分会场—会议方案》基础上，按照“产品发布会”逻辑进行二次设计，不再把重点放在常规学术报告的平铺式呈现，而是围绕“首发、首秀、首批合作、首轮传播”四个关键词，打造一场更有故事线、更有仪式感、更容易形成现场记忆点和媒体传播点的产品发布活动。</w:t>
      </w:r>
    </w:p>
    <w:p>
      <w:pPr>
        <w:spacing w:before="0" w:after="100" w:line="348" w:lineRule="auto"/>
        <w:ind w:firstLine="420"/>
      </w:pPr>
      <w:r>
        <w:rPr>
          <w:rFonts w:ascii="Microsoft YaHei" w:hAnsi="Microsoft YaHei" w:eastAsia="Microsoft YaHei"/>
          <w:b w:val="0"/>
          <w:color w:val="333333"/>
          <w:sz w:val="21"/>
        </w:rPr>
        <w:t>整体策略是：保留原方案中“理论—产品—案例—标准—人才培养”的核心内容骨架，同时对舞台表达、议程节奏、互动机制、嘉宾参与、媒体传播、现场物料和会后转化进行升级，使会议从‘能开成’升级为‘能出圈、能转化、能沉淀’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4F8FB"/>
            <w:tcMar>
              <w:top w:w="100" w:type="dxa"/>
              <w:start w:w="180" w:type="dxa"/>
              <w:bottom w:w="100" w:type="dxa"/>
              <w:end w:w="180" w:type="dxa"/>
            </w:tcMar>
          </w:tcPr>
          <w:p>
            <w:pPr>
              <w:spacing w:before="0" w:after="0" w:line="312" w:lineRule="auto"/>
            </w:pPr>
            <w:r>
              <w:rPr>
                <w:rFonts w:ascii="Microsoft YaHei" w:hAnsi="Microsoft YaHei" w:eastAsia="Microsoft YaHei"/>
                <w:b/>
                <w:color w:val="0F3B63"/>
                <w:sz w:val="23"/>
              </w:rPr>
              <w:t>发布会核心目标：</w:t>
              <w:br/>
            </w:r>
            <w:r>
              <w:rPr>
                <w:rFonts w:ascii="Microsoft YaHei" w:hAnsi="Microsoft YaHei" w:eastAsia="Microsoft YaHei"/>
                <w:color w:val="333333"/>
                <w:sz w:val="21"/>
              </w:rPr>
              <w:t>1. 发布六大核心产品；2. 证明其已具备工程应用与真实案例支撑；3. 促成高校、业主、合作方加入生态；4. 形成可持续传播和会后转化。</w:t>
            </w:r>
          </w:p>
        </w:tc>
      </w:tr>
    </w:tbl>
    <w:p>
      <w:pPr>
        <w:spacing w:before="200" w:after="160" w:line="264" w:lineRule="auto"/>
      </w:pPr>
      <w:r>
        <w:rPr>
          <w:rFonts w:ascii="Microsoft YaHei" w:hAnsi="Microsoft YaHei" w:eastAsia="Microsoft YaHei"/>
          <w:b/>
          <w:color w:val="17375E"/>
          <w:sz w:val="32"/>
        </w:rPr>
        <w:t>二、发布会整体创意设计</w:t>
      </w:r>
    </w:p>
    <w:p>
      <w:pPr>
        <w:spacing w:before="160" w:after="100" w:line="264" w:lineRule="auto"/>
      </w:pPr>
      <w:r>
        <w:rPr>
          <w:rFonts w:ascii="Microsoft YaHei" w:hAnsi="Microsoft YaHei" w:eastAsia="Microsoft YaHei"/>
          <w:b/>
          <w:color w:val="1F4E79"/>
          <w:sz w:val="26"/>
        </w:rPr>
        <w:t>（一）总主题与叙事主线</w:t>
      </w:r>
    </w:p>
    <w:p>
      <w:pPr>
        <w:pStyle w:val="ListBullet"/>
        <w:spacing w:after="60" w:line="324" w:lineRule="auto"/>
        <w:ind w:left="340"/>
      </w:pPr>
      <w:r>
        <w:rPr>
          <w:rFonts w:ascii="Microsoft YaHei" w:hAnsi="Microsoft YaHei" w:eastAsia="Microsoft YaHei"/>
          <w:color w:val="333333"/>
          <w:sz w:val="21"/>
        </w:rPr>
        <w:t>总主题建议：从数字孪生到认知智能——水网自主运行新范式</w:t>
      </w:r>
    </w:p>
    <w:p>
      <w:pPr>
        <w:pStyle w:val="ListBullet"/>
        <w:spacing w:after="60" w:line="324" w:lineRule="auto"/>
        <w:ind w:left="340"/>
      </w:pPr>
      <w:r>
        <w:rPr>
          <w:rFonts w:ascii="Microsoft YaHei" w:hAnsi="Microsoft YaHei" w:eastAsia="Microsoft YaHei"/>
          <w:color w:val="333333"/>
          <w:sz w:val="21"/>
        </w:rPr>
        <w:t>发布会主口号：让每一条河流都有自己的AI大脑</w:t>
      </w:r>
    </w:p>
    <w:p>
      <w:pPr>
        <w:pStyle w:val="ListBullet"/>
        <w:spacing w:after="60" w:line="324" w:lineRule="auto"/>
        <w:ind w:left="340"/>
      </w:pPr>
      <w:r>
        <w:rPr>
          <w:rFonts w:ascii="Microsoft YaHei" w:hAnsi="Microsoft YaHei" w:eastAsia="Microsoft YaHei"/>
          <w:color w:val="333333"/>
          <w:sz w:val="21"/>
        </w:rPr>
        <w:t>叙事主线建议：看懂水 → 管好水 → 用好AI → 验证可信 → 落地应用 → 培养人才</w:t>
      </w:r>
    </w:p>
    <w:p>
      <w:pPr>
        <w:pStyle w:val="ListBullet"/>
        <w:spacing w:after="60" w:line="324" w:lineRule="auto"/>
        <w:ind w:left="340"/>
      </w:pPr>
      <w:r>
        <w:rPr>
          <w:rFonts w:ascii="Microsoft YaHei" w:hAnsi="Microsoft YaHei" w:eastAsia="Microsoft YaHei"/>
          <w:color w:val="333333"/>
          <w:sz w:val="21"/>
        </w:rPr>
        <w:t>观众感知目标：不是‘又开了一场会’，而是‘这个团队正式拿出了一套可落地的产品体系’。</w:t>
      </w:r>
    </w:p>
    <w:p>
      <w:pPr>
        <w:spacing w:before="160" w:after="100" w:line="264" w:lineRule="auto"/>
      </w:pPr>
      <w:r>
        <w:rPr>
          <w:rFonts w:ascii="Microsoft YaHei" w:hAnsi="Microsoft YaHei" w:eastAsia="Microsoft YaHei"/>
          <w:b/>
          <w:color w:val="1F4E79"/>
          <w:sz w:val="26"/>
        </w:rPr>
        <w:t>（二）包装为“三幕式”发布结构</w:t>
      </w:r>
    </w:p>
    <w:p>
      <w:pPr>
        <w:spacing w:before="0" w:after="100" w:line="348" w:lineRule="auto"/>
        <w:ind w:firstLine="420"/>
      </w:pPr>
      <w:r>
        <w:rPr>
          <w:rFonts w:ascii="Microsoft YaHei" w:hAnsi="Microsoft YaHei" w:eastAsia="Microsoft YaHei"/>
          <w:b w:val="0"/>
          <w:color w:val="333333"/>
          <w:sz w:val="21"/>
        </w:rPr>
        <w:t>第一幕是“开场立势”，用3分钟概念片、舞台灯光和主持人口播迅速建立宏大叙事，让观众理解这是一次产品体系发布，而不是单纯学术汇报。第二幕是“核心发布”，通过产品总览、案例连演、现场演示和见证嘉宾点评，完成‘技术可信 + 工程可用 + 角色可感知’的转化。第三幕是“生态启动”，以倡议发布、首批合作单位亮相、社区上线和合作邀约完成收口。</w:t>
      </w:r>
    </w:p>
    <w:p>
      <w:pPr>
        <w:spacing w:before="160" w:after="100" w:line="264" w:lineRule="auto"/>
      </w:pPr>
      <w:r>
        <w:rPr>
          <w:rFonts w:ascii="Microsoft YaHei" w:hAnsi="Microsoft YaHei" w:eastAsia="Microsoft YaHei"/>
          <w:b/>
          <w:color w:val="1F4E79"/>
          <w:sz w:val="26"/>
        </w:rPr>
        <w:t>（三）现场气质关键词</w:t>
      </w:r>
    </w:p>
    <w:p>
      <w:pPr>
        <w:pStyle w:val="ListBullet"/>
        <w:spacing w:after="60" w:line="324" w:lineRule="auto"/>
        <w:ind w:left="340"/>
      </w:pPr>
      <w:r>
        <w:rPr>
          <w:rFonts w:ascii="Microsoft YaHei" w:hAnsi="Microsoft YaHei" w:eastAsia="Microsoft YaHei"/>
          <w:color w:val="333333"/>
          <w:sz w:val="21"/>
        </w:rPr>
        <w:t>科技感：大屏主视觉、动态倒计时、产品矩阵动画、三端联动演示。</w:t>
      </w:r>
    </w:p>
    <w:p>
      <w:pPr>
        <w:pStyle w:val="ListBullet"/>
        <w:spacing w:after="60" w:line="324" w:lineRule="auto"/>
        <w:ind w:left="340"/>
      </w:pPr>
      <w:r>
        <w:rPr>
          <w:rFonts w:ascii="Microsoft YaHei" w:hAnsi="Microsoft YaHei" w:eastAsia="Microsoft YaHei"/>
          <w:color w:val="333333"/>
          <w:sz w:val="21"/>
        </w:rPr>
        <w:t>工程感：真实案例、真实场景、真实运行数据、真实装备展示。</w:t>
      </w:r>
    </w:p>
    <w:p>
      <w:pPr>
        <w:pStyle w:val="ListBullet"/>
        <w:spacing w:after="60" w:line="324" w:lineRule="auto"/>
        <w:ind w:left="340"/>
      </w:pPr>
      <w:r>
        <w:rPr>
          <w:rFonts w:ascii="Microsoft YaHei" w:hAnsi="Microsoft YaHei" w:eastAsia="Microsoft YaHei"/>
          <w:color w:val="333333"/>
          <w:sz w:val="21"/>
        </w:rPr>
        <w:t>仪式感：启动环节、发布口号、首批共建单位亮相、授牌或点亮仪式。</w:t>
      </w:r>
    </w:p>
    <w:p>
      <w:pPr>
        <w:pStyle w:val="ListBullet"/>
        <w:spacing w:after="60" w:line="324" w:lineRule="auto"/>
        <w:ind w:left="340"/>
      </w:pPr>
      <w:r>
        <w:rPr>
          <w:rFonts w:ascii="Microsoft YaHei" w:hAnsi="Microsoft YaHei" w:eastAsia="Microsoft YaHei"/>
          <w:color w:val="333333"/>
          <w:sz w:val="21"/>
        </w:rPr>
        <w:t>传播感：固定金句、统一视觉口径、媒体拍摄点位、会后短视频切片。</w:t>
      </w:r>
    </w:p>
    <w:p>
      <w:pPr>
        <w:spacing w:before="200" w:after="160" w:line="264" w:lineRule="auto"/>
      </w:pPr>
      <w:r>
        <w:rPr>
          <w:rFonts w:ascii="Microsoft YaHei" w:hAnsi="Microsoft YaHei" w:eastAsia="Microsoft YaHei"/>
          <w:b/>
          <w:color w:val="17375E"/>
          <w:sz w:val="32"/>
        </w:rPr>
        <w:t>三、总体实施架构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375E"/>
                <w:sz w:val="21"/>
              </w:rPr>
              <w:t>阶段</w:t>
            </w:r>
          </w:p>
        </w:tc>
        <w:tc>
          <w:tcPr>
            <w:tcW w:type="dxa" w:w="3249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375E"/>
                <w:sz w:val="21"/>
              </w:rPr>
              <w:t>核心目标</w:t>
            </w:r>
          </w:p>
        </w:tc>
        <w:tc>
          <w:tcPr>
            <w:tcW w:type="dxa" w:w="3249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375E"/>
                <w:sz w:val="21"/>
              </w:rPr>
              <w:t>现场呈现</w:t>
            </w:r>
          </w:p>
        </w:tc>
      </w:tr>
      <w:tr>
        <w:tc>
          <w:tcPr>
            <w:tcW w:type="dxa" w:w="324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/>
                <w:color w:val="333333"/>
                <w:sz w:val="20"/>
              </w:rPr>
              <w:t>预热入场</w:t>
            </w:r>
          </w:p>
        </w:tc>
        <w:tc>
          <w:tcPr>
            <w:tcW w:type="dxa" w:w="324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建立期待</w:t>
            </w:r>
          </w:p>
        </w:tc>
        <w:tc>
          <w:tcPr>
            <w:tcW w:type="dxa" w:w="324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签到墙、暖场视频、倒计时海报、循环播放案例成果</w:t>
            </w:r>
          </w:p>
        </w:tc>
      </w:tr>
      <w:tr>
        <w:tc>
          <w:tcPr>
            <w:tcW w:type="dxa" w:w="324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/>
                <w:color w:val="333333"/>
                <w:sz w:val="20"/>
              </w:rPr>
              <w:t>开场立势</w:t>
            </w:r>
          </w:p>
        </w:tc>
        <w:tc>
          <w:tcPr>
            <w:tcW w:type="dxa" w:w="324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建立发布会身份</w:t>
            </w:r>
          </w:p>
        </w:tc>
        <w:tc>
          <w:tcPr>
            <w:tcW w:type="dxa" w:w="324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概念片+主持串场+总负责人开场致辞</w:t>
            </w:r>
          </w:p>
        </w:tc>
      </w:tr>
      <w:tr>
        <w:tc>
          <w:tcPr>
            <w:tcW w:type="dxa" w:w="324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/>
                <w:color w:val="333333"/>
                <w:sz w:val="20"/>
              </w:rPr>
              <w:t>核心发布</w:t>
            </w:r>
          </w:p>
        </w:tc>
        <w:tc>
          <w:tcPr>
            <w:tcW w:type="dxa" w:w="324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讲清产品体系</w:t>
            </w:r>
          </w:p>
        </w:tc>
        <w:tc>
          <w:tcPr>
            <w:tcW w:type="dxa" w:w="324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HydroClaw总览、六大案例发布、三端联演</w:t>
            </w:r>
          </w:p>
        </w:tc>
      </w:tr>
      <w:tr>
        <w:tc>
          <w:tcPr>
            <w:tcW w:type="dxa" w:w="324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/>
                <w:color w:val="333333"/>
                <w:sz w:val="20"/>
              </w:rPr>
              <w:t>可信证明</w:t>
            </w:r>
          </w:p>
        </w:tc>
        <w:tc>
          <w:tcPr>
            <w:tcW w:type="dxa" w:w="324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强调可验证可工程化</w:t>
            </w:r>
          </w:p>
        </w:tc>
        <w:tc>
          <w:tcPr>
            <w:tcW w:type="dxa" w:w="324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在环测试、装备工具、典型应用效果</w:t>
            </w:r>
          </w:p>
        </w:tc>
      </w:tr>
      <w:tr>
        <w:tc>
          <w:tcPr>
            <w:tcW w:type="dxa" w:w="324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/>
                <w:color w:val="333333"/>
                <w:sz w:val="20"/>
              </w:rPr>
              <w:t>生态启动</w:t>
            </w:r>
          </w:p>
        </w:tc>
        <w:tc>
          <w:tcPr>
            <w:tcW w:type="dxa" w:w="324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形成合作转化</w:t>
            </w:r>
          </w:p>
        </w:tc>
        <w:tc>
          <w:tcPr>
            <w:tcW w:type="dxa" w:w="324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标准倡议、首批合作名单、社区发布、合作邀请</w:t>
            </w:r>
          </w:p>
        </w:tc>
      </w:tr>
      <w:tr>
        <w:tc>
          <w:tcPr>
            <w:tcW w:type="dxa" w:w="324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/>
                <w:color w:val="333333"/>
                <w:sz w:val="20"/>
              </w:rPr>
              <w:t>会后传播</w:t>
            </w:r>
          </w:p>
        </w:tc>
        <w:tc>
          <w:tcPr>
            <w:tcW w:type="dxa" w:w="324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扩大影响</w:t>
            </w:r>
          </w:p>
        </w:tc>
        <w:tc>
          <w:tcPr>
            <w:tcW w:type="dxa" w:w="324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新闻稿、视频回放、金句海报、案例长图、合作跟进</w:t>
            </w:r>
          </w:p>
        </w:tc>
      </w:tr>
    </w:tbl>
    <w:p>
      <w:pPr>
        <w:spacing w:before="200" w:after="160" w:line="264" w:lineRule="auto"/>
      </w:pPr>
      <w:r>
        <w:rPr>
          <w:rFonts w:ascii="Microsoft YaHei" w:hAnsi="Microsoft YaHei" w:eastAsia="Microsoft YaHei"/>
          <w:b/>
          <w:color w:val="17375E"/>
          <w:sz w:val="32"/>
        </w:rPr>
        <w:t>四、发布会亮点设计</w:t>
      </w:r>
    </w:p>
    <w:p>
      <w:pPr>
        <w:spacing w:before="160" w:after="100" w:line="264" w:lineRule="auto"/>
      </w:pPr>
      <w:r>
        <w:rPr>
          <w:rFonts w:ascii="Microsoft YaHei" w:hAnsi="Microsoft YaHei" w:eastAsia="Microsoft YaHei"/>
          <w:b/>
          <w:color w:val="1F4E79"/>
          <w:sz w:val="26"/>
        </w:rPr>
        <w:t>1. 开场即“首发感”</w:t>
      </w:r>
    </w:p>
    <w:p>
      <w:pPr>
        <w:spacing w:before="0" w:after="100" w:line="348" w:lineRule="auto"/>
        <w:ind w:firstLine="420"/>
      </w:pPr>
      <w:r>
        <w:rPr>
          <w:rFonts w:ascii="Microsoft YaHei" w:hAnsi="Microsoft YaHei" w:eastAsia="Microsoft YaHei"/>
          <w:b w:val="0"/>
          <w:color w:val="333333"/>
          <w:sz w:val="21"/>
        </w:rPr>
        <w:t>建议在14:00整以黑场+倒计时+概念片开启。大屏先显示“2026水网认知智能产品发布会”及5秒倒计时，随后切入3分钟概念片，视频内容从南水北调、大渡河、调水工程等真实场景切换到产品界面、控制系统、智能体对话界面，最后落在口号“让每一条河流都有自己的AI大脑”。</w:t>
      </w:r>
    </w:p>
    <w:p>
      <w:pPr>
        <w:spacing w:before="160" w:after="100" w:line="264" w:lineRule="auto"/>
      </w:pPr>
      <w:r>
        <w:rPr>
          <w:rFonts w:ascii="Microsoft YaHei" w:hAnsi="Microsoft YaHei" w:eastAsia="Microsoft YaHei"/>
          <w:b/>
          <w:color w:val="1F4E79"/>
          <w:sz w:val="26"/>
        </w:rPr>
        <w:t>2. 把‘发布’做成‘连续揭晓’</w:t>
      </w:r>
    </w:p>
    <w:p>
      <w:pPr>
        <w:spacing w:before="0" w:after="100" w:line="348" w:lineRule="auto"/>
        <w:ind w:firstLine="420"/>
      </w:pPr>
      <w:r>
        <w:rPr>
          <w:rFonts w:ascii="Microsoft YaHei" w:hAnsi="Microsoft YaHei" w:eastAsia="Microsoft YaHei"/>
          <w:b w:val="0"/>
          <w:color w:val="333333"/>
          <w:sz w:val="21"/>
        </w:rPr>
        <w:t>六大产品不要只停留在一页总览，而应在每个板块开始时由主持人用一句统一句式进行揭晓，例如“现在发布的是：让系统看懂水的世界模型”“现在登场的是：让工程真正跑起来的分布式控制器”。这样能增强节奏感与记忆点。</w:t>
      </w:r>
    </w:p>
    <w:p>
      <w:pPr>
        <w:spacing w:before="160" w:after="100" w:line="264" w:lineRule="auto"/>
      </w:pPr>
      <w:r>
        <w:rPr>
          <w:rFonts w:ascii="Microsoft YaHei" w:hAnsi="Microsoft YaHei" w:eastAsia="Microsoft YaHei"/>
          <w:b/>
          <w:color w:val="1F4E79"/>
          <w:sz w:val="26"/>
        </w:rPr>
        <w:t>3. 设置“业主/合作方/应用单位见证环节”</w:t>
      </w:r>
    </w:p>
    <w:p>
      <w:pPr>
        <w:spacing w:before="0" w:after="100" w:line="348" w:lineRule="auto"/>
        <w:ind w:firstLine="420"/>
      </w:pPr>
      <w:r>
        <w:rPr>
          <w:rFonts w:ascii="Microsoft YaHei" w:hAnsi="Microsoft YaHei" w:eastAsia="Microsoft YaHei"/>
          <w:b w:val="0"/>
          <w:color w:val="333333"/>
          <w:sz w:val="21"/>
        </w:rPr>
        <w:t>原方案中技术内容强、应用背书还不够强。建议在板块一后增加8-10分钟“应用见证”微环节，邀请已服务过的业主代表、合作方、典型应用单位各1人，每人2-3分钟，从‘为什么采用、效果如何、后续期待’三个问题发言，形成第三方证明。</w:t>
      </w:r>
    </w:p>
    <w:p>
      <w:pPr>
        <w:spacing w:before="160" w:after="100" w:line="264" w:lineRule="auto"/>
      </w:pPr>
      <w:r>
        <w:rPr>
          <w:rFonts w:ascii="Microsoft YaHei" w:hAnsi="Microsoft YaHei" w:eastAsia="Microsoft YaHei"/>
          <w:b/>
          <w:color w:val="1F4E79"/>
          <w:sz w:val="26"/>
        </w:rPr>
        <w:t>4. 三端同屏演示形成吸睛画面</w:t>
      </w:r>
    </w:p>
    <w:p>
      <w:pPr>
        <w:spacing w:before="0" w:after="100" w:line="348" w:lineRule="auto"/>
        <w:ind w:firstLine="420"/>
      </w:pPr>
      <w:r>
        <w:rPr>
          <w:rFonts w:ascii="Microsoft YaHei" w:hAnsi="Microsoft YaHei" w:eastAsia="Microsoft YaHei"/>
          <w:b w:val="0"/>
          <w:color w:val="333333"/>
          <w:sz w:val="21"/>
        </w:rPr>
        <w:t>HydroClaw建议采用‘桌面端+Web端+手机端’同步切换的方式，尽量让观众看到同一任务如何跨端协同完成，从而直观建立‘这不是实验室Demo，而是可被不同角色使用的产品’。</w:t>
      </w:r>
    </w:p>
    <w:p>
      <w:pPr>
        <w:spacing w:before="160" w:after="100" w:line="264" w:lineRule="auto"/>
      </w:pPr>
      <w:r>
        <w:rPr>
          <w:rFonts w:ascii="Microsoft YaHei" w:hAnsi="Microsoft YaHei" w:eastAsia="Microsoft YaHei"/>
          <w:b/>
          <w:color w:val="1F4E79"/>
          <w:sz w:val="26"/>
        </w:rPr>
        <w:t>5. 设置“首批共建生态发布”</w:t>
      </w:r>
    </w:p>
    <w:p>
      <w:pPr>
        <w:spacing w:before="0" w:after="100" w:line="348" w:lineRule="auto"/>
        <w:ind w:firstLine="420"/>
      </w:pPr>
      <w:r>
        <w:rPr>
          <w:rFonts w:ascii="Microsoft YaHei" w:hAnsi="Microsoft YaHei" w:eastAsia="Microsoft YaHei"/>
          <w:b w:val="0"/>
          <w:color w:val="333333"/>
          <w:sz w:val="21"/>
        </w:rPr>
        <w:t>闭幕阶段建议不只说欢迎合作，而是直接发布“首批共建高校/合作单位/测试基地/开发者社区”名单。如果实际数量尚未完全落实，也可先形成‘倡议单位名单+意向合作名单’，提升发布分量。</w:t>
      </w:r>
    </w:p>
    <w:p>
      <w:pPr>
        <w:spacing w:before="200" w:after="160" w:line="264" w:lineRule="auto"/>
      </w:pPr>
      <w:r>
        <w:rPr>
          <w:rFonts w:ascii="Microsoft YaHei" w:hAnsi="Microsoft YaHei" w:eastAsia="Microsoft YaHei"/>
          <w:b/>
          <w:color w:val="17375E"/>
          <w:sz w:val="32"/>
        </w:rPr>
        <w:t>五、优化后的现场议程（发布会版）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375E"/>
                <w:sz w:val="21"/>
              </w:rPr>
              <w:t>时间</w:t>
            </w:r>
          </w:p>
        </w:tc>
        <w:tc>
          <w:tcPr>
            <w:tcW w:type="dxa" w:w="3249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375E"/>
                <w:sz w:val="21"/>
              </w:rPr>
              <w:t>环节</w:t>
            </w:r>
          </w:p>
        </w:tc>
        <w:tc>
          <w:tcPr>
            <w:tcW w:type="dxa" w:w="3249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375E"/>
                <w:sz w:val="21"/>
              </w:rPr>
              <w:t>实施要点</w:t>
            </w:r>
          </w:p>
        </w:tc>
      </w:tr>
      <w:t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13:20-14:00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/>
                <w:color w:val="333333"/>
                <w:sz w:val="19"/>
              </w:rPr>
              <w:t>暖场签到与观众入场</w:t>
            </w:r>
          </w:p>
        </w:tc>
        <w:tc>
          <w:tcPr>
            <w:tcW w:type="dxa" w:w="464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背景屏轮播：产品概念海报、案例成果、团队预热视频；同步播放轻音乐和会场指引</w:t>
            </w:r>
          </w:p>
        </w:tc>
      </w:tr>
      <w:t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14:00-14:03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/>
                <w:color w:val="333333"/>
                <w:sz w:val="19"/>
              </w:rPr>
              <w:t>倒计时+开场概念片</w:t>
            </w:r>
          </w:p>
        </w:tc>
        <w:tc>
          <w:tcPr>
            <w:tcW w:type="dxa" w:w="464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用视频直接把观众带入“水网觉醒、智能运行”的叙事空间</w:t>
            </w:r>
          </w:p>
        </w:tc>
      </w:tr>
      <w:t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14:03-14:18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/>
                <w:color w:val="333333"/>
                <w:sz w:val="19"/>
              </w:rPr>
              <w:t>总开场：理论立势与产品发布宣言</w:t>
            </w:r>
          </w:p>
        </w:tc>
        <w:tc>
          <w:tcPr>
            <w:tcW w:type="dxa" w:w="464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雷晓辉：从数字孪生到认知智能，说明为什么今天要发布这套产品体系</w:t>
            </w:r>
          </w:p>
        </w:tc>
      </w:tr>
      <w:t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14:18-14:28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/>
                <w:color w:val="333333"/>
                <w:sz w:val="19"/>
              </w:rPr>
              <w:t>六大产品矩阵首发</w:t>
            </w:r>
          </w:p>
        </w:tc>
        <w:tc>
          <w:tcPr>
            <w:tcW w:type="dxa" w:w="464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以一页矩阵+一句话价值主张完成统一亮相</w:t>
            </w:r>
          </w:p>
        </w:tc>
      </w:tr>
      <w:t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14:28-16:08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/>
                <w:color w:val="333333"/>
                <w:sz w:val="19"/>
              </w:rPr>
              <w:t>核心发布：六大案例全链路演示</w:t>
            </w:r>
          </w:p>
        </w:tc>
        <w:tc>
          <w:tcPr>
            <w:tcW w:type="dxa" w:w="464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按“双容水箱—地下水/大渡河水文—大渡河梯级—中线—东线—胶东”递进演示</w:t>
            </w:r>
          </w:p>
        </w:tc>
      </w:tr>
      <w:t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16:08-16:18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/>
                <w:color w:val="333333"/>
                <w:sz w:val="19"/>
              </w:rPr>
              <w:t>应用见证与合作方发言</w:t>
            </w:r>
          </w:p>
        </w:tc>
        <w:tc>
          <w:tcPr>
            <w:tcW w:type="dxa" w:w="464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建议安排业主代表、技术合作方、潜在应用单位依次发言</w:t>
            </w:r>
          </w:p>
        </w:tc>
      </w:tr>
      <w:t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16:18-16:28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/>
                <w:color w:val="333333"/>
                <w:sz w:val="19"/>
              </w:rPr>
              <w:t>茶歇与线上互动</w:t>
            </w:r>
          </w:p>
        </w:tc>
        <w:tc>
          <w:tcPr>
            <w:tcW w:type="dxa" w:w="464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滚动展示提问二维码、首批报名高校、媒体拍摄花絮</w:t>
            </w:r>
          </w:p>
        </w:tc>
      </w:tr>
      <w:t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16:28-16:46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/>
                <w:color w:val="333333"/>
                <w:sz w:val="19"/>
              </w:rPr>
              <w:t>可信验证发布：在环测试体系</w:t>
            </w:r>
          </w:p>
        </w:tc>
        <w:tc>
          <w:tcPr>
            <w:tcW w:type="dxa" w:w="464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用SIL/HIL和硬件仿真机证明系统不是‘只能讲、不能验’</w:t>
            </w:r>
          </w:p>
        </w:tc>
      </w:tr>
      <w:t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16:46-17:02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/>
                <w:color w:val="333333"/>
                <w:sz w:val="19"/>
              </w:rPr>
              <w:t>智能装备与设计工具发布</w:t>
            </w:r>
          </w:p>
        </w:tc>
        <w:tc>
          <w:tcPr>
            <w:tcW w:type="dxa" w:w="464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双容水箱实物/视频+MBD工具完整工具链演示</w:t>
            </w:r>
          </w:p>
        </w:tc>
      </w:tr>
      <w:t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17:02-17:28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/>
                <w:color w:val="333333"/>
                <w:sz w:val="19"/>
              </w:rPr>
              <w:t>知识体系、标准体系与人才培养发布</w:t>
            </w:r>
          </w:p>
        </w:tc>
        <w:tc>
          <w:tcPr>
            <w:tcW w:type="dxa" w:w="464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教材矩阵、知识平台、课程包、联合实验室计划</w:t>
            </w:r>
          </w:p>
        </w:tc>
      </w:tr>
      <w:t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17:28-17:40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/>
                <w:color w:val="333333"/>
                <w:sz w:val="19"/>
              </w:rPr>
              <w:t>启动仪式：社区上线/合作倡议/首批名单发布</w:t>
            </w:r>
          </w:p>
        </w:tc>
        <w:tc>
          <w:tcPr>
            <w:tcW w:type="dxa" w:w="464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通过大屏点亮、授牌或共同触屏完成仪式</w:t>
            </w:r>
          </w:p>
        </w:tc>
      </w:tr>
      <w:t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17:40-17:50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/>
                <w:color w:val="333333"/>
                <w:sz w:val="19"/>
              </w:rPr>
              <w:t>总结与媒体采访问答</w:t>
            </w:r>
          </w:p>
        </w:tc>
        <w:tc>
          <w:tcPr>
            <w:tcW w:type="dxa" w:w="464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主持人收束并引导嘉宾移步采访区/交流区</w:t>
            </w:r>
          </w:p>
        </w:tc>
      </w:tr>
    </w:tbl>
    <w:p>
      <w:pPr>
        <w:spacing w:before="200" w:after="160" w:line="264" w:lineRule="auto"/>
      </w:pPr>
      <w:r>
        <w:rPr>
          <w:rFonts w:ascii="Microsoft YaHei" w:hAnsi="Microsoft YaHei" w:eastAsia="Microsoft YaHei"/>
          <w:b/>
          <w:color w:val="17375E"/>
          <w:sz w:val="32"/>
        </w:rPr>
        <w:t>六、舞台与视觉实施方案</w:t>
      </w:r>
    </w:p>
    <w:p>
      <w:pPr>
        <w:spacing w:before="160" w:after="100" w:line="264" w:lineRule="auto"/>
      </w:pPr>
      <w:r>
        <w:rPr>
          <w:rFonts w:ascii="Microsoft YaHei" w:hAnsi="Microsoft YaHei" w:eastAsia="Microsoft YaHei"/>
          <w:b/>
          <w:color w:val="1F4E79"/>
          <w:sz w:val="26"/>
        </w:rPr>
        <w:t>（一）主舞台建议</w:t>
      </w:r>
    </w:p>
    <w:p>
      <w:pPr>
        <w:pStyle w:val="ListBullet"/>
        <w:spacing w:after="60" w:line="324" w:lineRule="auto"/>
        <w:ind w:left="340"/>
      </w:pPr>
      <w:r>
        <w:rPr>
          <w:rFonts w:ascii="Microsoft YaHei" w:hAnsi="Microsoft YaHei" w:eastAsia="Microsoft YaHei"/>
          <w:color w:val="333333"/>
          <w:sz w:val="21"/>
        </w:rPr>
        <w:t>主屏建议采用一块主LED大屏，统一承载主视觉、PPT、演示画面和仪式启动内容。</w:t>
      </w:r>
    </w:p>
    <w:p>
      <w:pPr>
        <w:pStyle w:val="ListBullet"/>
        <w:spacing w:after="60" w:line="324" w:lineRule="auto"/>
        <w:ind w:left="340"/>
      </w:pPr>
      <w:r>
        <w:rPr>
          <w:rFonts w:ascii="Microsoft YaHei" w:hAnsi="Microsoft YaHei" w:eastAsia="Microsoft YaHei"/>
          <w:color w:val="333333"/>
          <w:sz w:val="21"/>
        </w:rPr>
        <w:t>讲台与演示席分离：主讲人在台中央/讲台区表达，演示人员在侧台或前排操作席联动，避免主讲人与电脑操作抢画面。</w:t>
      </w:r>
    </w:p>
    <w:p>
      <w:pPr>
        <w:pStyle w:val="ListBullet"/>
        <w:spacing w:after="60" w:line="324" w:lineRule="auto"/>
        <w:ind w:left="340"/>
      </w:pPr>
      <w:r>
        <w:rPr>
          <w:rFonts w:ascii="Microsoft YaHei" w:hAnsi="Microsoft YaHei" w:eastAsia="Microsoft YaHei"/>
          <w:color w:val="333333"/>
          <w:sz w:val="21"/>
        </w:rPr>
        <w:t>设置一处实物展示位：双容水箱、硬件仿真机或模型装备优先摆在能被摄影机捕捉到的位置。</w:t>
      </w:r>
    </w:p>
    <w:p>
      <w:pPr>
        <w:spacing w:before="160" w:after="100" w:line="264" w:lineRule="auto"/>
      </w:pPr>
      <w:r>
        <w:rPr>
          <w:rFonts w:ascii="Microsoft YaHei" w:hAnsi="Microsoft YaHei" w:eastAsia="Microsoft YaHei"/>
          <w:b/>
          <w:color w:val="1F4E79"/>
          <w:sz w:val="26"/>
        </w:rPr>
        <w:t>（二）视觉系统建议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36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375E"/>
                <w:sz w:val="21"/>
              </w:rPr>
              <w:t>要素</w:t>
            </w:r>
          </w:p>
        </w:tc>
        <w:tc>
          <w:tcPr>
            <w:tcW w:type="dxa" w:w="4873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36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375E"/>
                <w:sz w:val="21"/>
              </w:rPr>
              <w:t>建议内容</w:t>
            </w:r>
          </w:p>
        </w:tc>
      </w:tr>
      <w:tr>
        <w:tc>
          <w:tcPr>
            <w:tcW w:type="dxa" w:w="487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color w:val="333333"/>
                <w:sz w:val="20"/>
              </w:rPr>
              <w:t>主KV主标题</w:t>
            </w:r>
          </w:p>
        </w:tc>
        <w:tc>
          <w:tcPr>
            <w:tcW w:type="dxa" w:w="487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水网认知智能产品发布会</w:t>
            </w:r>
          </w:p>
        </w:tc>
      </w:tr>
      <w:tr>
        <w:tc>
          <w:tcPr>
            <w:tcW w:type="dxa" w:w="487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color w:val="333333"/>
                <w:sz w:val="20"/>
              </w:rPr>
              <w:t>副标题</w:t>
            </w:r>
          </w:p>
        </w:tc>
        <w:tc>
          <w:tcPr>
            <w:tcW w:type="dxa" w:w="487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从数字孪生到认知智能——水网自主运行新范式</w:t>
            </w:r>
          </w:p>
        </w:tc>
      </w:tr>
      <w:tr>
        <w:tc>
          <w:tcPr>
            <w:tcW w:type="dxa" w:w="487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color w:val="333333"/>
                <w:sz w:val="20"/>
              </w:rPr>
              <w:t>主色建议</w:t>
            </w:r>
          </w:p>
        </w:tc>
        <w:tc>
          <w:tcPr>
            <w:tcW w:type="dxa" w:w="487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深蓝+科技蓝+白色，强调水网、理性、科技感</w:t>
            </w:r>
          </w:p>
        </w:tc>
      </w:tr>
      <w:tr>
        <w:tc>
          <w:tcPr>
            <w:tcW w:type="dxa" w:w="487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color w:val="333333"/>
                <w:sz w:val="20"/>
              </w:rPr>
              <w:t>动态元素</w:t>
            </w:r>
          </w:p>
        </w:tc>
        <w:tc>
          <w:tcPr>
            <w:tcW w:type="dxa" w:w="487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水波粒子、流线网络、控制节点、地图或水系纹理</w:t>
            </w:r>
          </w:p>
        </w:tc>
      </w:tr>
      <w:tr>
        <w:tc>
          <w:tcPr>
            <w:tcW w:type="dxa" w:w="487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color w:val="333333"/>
                <w:sz w:val="20"/>
              </w:rPr>
              <w:t>统一口径</w:t>
            </w:r>
          </w:p>
        </w:tc>
        <w:tc>
          <w:tcPr>
            <w:tcW w:type="dxa" w:w="487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所有海报、胸卡、签名墙、直播封面、PPT封面采用同一视觉体系</w:t>
            </w:r>
          </w:p>
        </w:tc>
      </w:tr>
    </w:tbl>
    <w:p>
      <w:pPr>
        <w:spacing w:before="200" w:after="160" w:line="264" w:lineRule="auto"/>
      </w:pPr>
      <w:r>
        <w:rPr>
          <w:rFonts w:ascii="Microsoft YaHei" w:hAnsi="Microsoft YaHei" w:eastAsia="Microsoft YaHei"/>
          <w:b/>
          <w:color w:val="17375E"/>
          <w:sz w:val="32"/>
        </w:rPr>
        <w:t>七、观众体验与互动设计</w:t>
      </w:r>
    </w:p>
    <w:p>
      <w:pPr>
        <w:spacing w:before="0" w:after="100" w:line="348" w:lineRule="auto"/>
        <w:ind w:firstLine="420"/>
      </w:pPr>
      <w:r>
        <w:rPr>
          <w:rFonts w:ascii="Microsoft YaHei" w:hAnsi="Microsoft YaHei" w:eastAsia="Microsoft YaHei"/>
          <w:b w:val="0"/>
          <w:color w:val="333333"/>
          <w:sz w:val="21"/>
        </w:rPr>
        <w:t>发布会需要从‘听讲’升级为‘参与’，建议重点设置签到互动、会中提问、会后体验三条线。</w:t>
      </w:r>
    </w:p>
    <w:p>
      <w:pPr>
        <w:pStyle w:val="ListBullet"/>
        <w:spacing w:after="60" w:line="324" w:lineRule="auto"/>
        <w:ind w:left="340"/>
      </w:pPr>
      <w:r>
        <w:rPr>
          <w:rFonts w:ascii="Microsoft YaHei" w:hAnsi="Microsoft YaHei" w:eastAsia="Microsoft YaHei"/>
          <w:color w:val="333333"/>
          <w:sz w:val="21"/>
        </w:rPr>
        <w:t>签到互动：设置签名墙或电子签到屏，背景文案可用“今天，一起见证水网AI大脑发布”。</w:t>
      </w:r>
    </w:p>
    <w:p>
      <w:pPr>
        <w:pStyle w:val="ListBullet"/>
        <w:spacing w:after="60" w:line="324" w:lineRule="auto"/>
        <w:ind w:left="340"/>
      </w:pPr>
      <w:r>
        <w:rPr>
          <w:rFonts w:ascii="Microsoft YaHei" w:hAnsi="Microsoft YaHei" w:eastAsia="Microsoft YaHei"/>
          <w:color w:val="333333"/>
          <w:sz w:val="21"/>
        </w:rPr>
        <w:t>会中互动：茶歇前后安排扫码提问与投票，问题类型建议围绕“最想试用的功能”“最期待合作的方向”。</w:t>
      </w:r>
    </w:p>
    <w:p>
      <w:pPr>
        <w:pStyle w:val="ListBullet"/>
        <w:spacing w:after="60" w:line="324" w:lineRule="auto"/>
        <w:ind w:left="340"/>
      </w:pPr>
      <w:r>
        <w:rPr>
          <w:rFonts w:ascii="Microsoft YaHei" w:hAnsi="Microsoft YaHei" w:eastAsia="Microsoft YaHei"/>
          <w:color w:val="333333"/>
          <w:sz w:val="21"/>
        </w:rPr>
        <w:t>会后体验：在会场外或侧厅设置体验区，安排1-2台电脑/平板供嘉宾试用HydroClaw及知识平台。</w:t>
      </w:r>
    </w:p>
    <w:p>
      <w:pPr>
        <w:pStyle w:val="ListBullet"/>
        <w:spacing w:after="60" w:line="324" w:lineRule="auto"/>
        <w:ind w:left="340"/>
      </w:pPr>
      <w:r>
        <w:rPr>
          <w:rFonts w:ascii="Microsoft YaHei" w:hAnsi="Microsoft YaHei" w:eastAsia="Microsoft YaHei"/>
          <w:color w:val="333333"/>
          <w:sz w:val="21"/>
        </w:rPr>
        <w:t>传播互动：鼓励现场拍照打卡，设计统一话题词，例如“#让每一条河流都有自己的AI大脑”。</w:t>
      </w:r>
    </w:p>
    <w:p>
      <w:pPr>
        <w:spacing w:before="200" w:after="160" w:line="264" w:lineRule="auto"/>
      </w:pPr>
      <w:r>
        <w:rPr>
          <w:rFonts w:ascii="Microsoft YaHei" w:hAnsi="Microsoft YaHei" w:eastAsia="Microsoft YaHei"/>
          <w:b/>
          <w:color w:val="17375E"/>
          <w:sz w:val="32"/>
        </w:rPr>
        <w:t>八、嘉宾与发言组织优化</w:t>
      </w:r>
    </w:p>
    <w:p>
      <w:pPr>
        <w:spacing w:before="0" w:after="100" w:line="348" w:lineRule="auto"/>
        <w:ind w:firstLine="420"/>
      </w:pPr>
      <w:r>
        <w:rPr>
          <w:rFonts w:ascii="Microsoft YaHei" w:hAnsi="Microsoft YaHei" w:eastAsia="Microsoft YaHei"/>
          <w:b w:val="0"/>
          <w:color w:val="333333"/>
          <w:sz w:val="21"/>
        </w:rPr>
        <w:t>为增强发布会说服力，嘉宾结构建议形成“理论提出者—产品负责人—案例负责人—应用见证人—合作共建方”五层结构。</w:t>
      </w:r>
    </w:p>
    <w:p>
      <w:pPr>
        <w:pStyle w:val="ListBullet"/>
        <w:spacing w:after="60" w:line="324" w:lineRule="auto"/>
        <w:ind w:left="340"/>
      </w:pPr>
      <w:r>
        <w:rPr>
          <w:rFonts w:ascii="Microsoft YaHei" w:hAnsi="Microsoft YaHei" w:eastAsia="Microsoft YaHei"/>
          <w:color w:val="333333"/>
          <w:sz w:val="21"/>
        </w:rPr>
        <w:t>总负责人负责立势与收口，强调愿景、体系与行业意义。</w:t>
      </w:r>
    </w:p>
    <w:p>
      <w:pPr>
        <w:pStyle w:val="ListBullet"/>
        <w:spacing w:after="60" w:line="324" w:lineRule="auto"/>
        <w:ind w:left="340"/>
      </w:pPr>
      <w:r>
        <w:rPr>
          <w:rFonts w:ascii="Microsoft YaHei" w:hAnsi="Microsoft YaHei" w:eastAsia="Microsoft YaHei"/>
          <w:color w:val="333333"/>
          <w:sz w:val="21"/>
        </w:rPr>
        <w:t>产品负责人负责把复杂技术说成清晰价值，避免陷入纯技术汇报。</w:t>
      </w:r>
    </w:p>
    <w:p>
      <w:pPr>
        <w:pStyle w:val="ListBullet"/>
        <w:spacing w:after="60" w:line="324" w:lineRule="auto"/>
        <w:ind w:left="340"/>
      </w:pPr>
      <w:r>
        <w:rPr>
          <w:rFonts w:ascii="Microsoft YaHei" w:hAnsi="Microsoft YaHei" w:eastAsia="Microsoft YaHei"/>
          <w:color w:val="333333"/>
          <w:sz w:val="21"/>
        </w:rPr>
        <w:t>案例负责人负责证明产品已能在真实复杂场景中工作。</w:t>
      </w:r>
    </w:p>
    <w:p>
      <w:pPr>
        <w:pStyle w:val="ListBullet"/>
        <w:spacing w:after="60" w:line="324" w:lineRule="auto"/>
        <w:ind w:left="340"/>
      </w:pPr>
      <w:r>
        <w:rPr>
          <w:rFonts w:ascii="Microsoft YaHei" w:hAnsi="Microsoft YaHei" w:eastAsia="Microsoft YaHei"/>
          <w:color w:val="333333"/>
          <w:sz w:val="21"/>
        </w:rPr>
        <w:t>应用见证人负责第三方背书，提升可信度与商业转化可能。</w:t>
      </w:r>
    </w:p>
    <w:p>
      <w:pPr>
        <w:pStyle w:val="ListBullet"/>
        <w:spacing w:after="60" w:line="324" w:lineRule="auto"/>
        <w:ind w:left="340"/>
      </w:pPr>
      <w:r>
        <w:rPr>
          <w:rFonts w:ascii="Microsoft YaHei" w:hAnsi="Microsoft YaHei" w:eastAsia="Microsoft YaHei"/>
          <w:color w:val="333333"/>
          <w:sz w:val="21"/>
        </w:rPr>
        <w:t>合作共建方负责把本次发布会从‘展示’升级为‘合作启动会’。</w:t>
      </w:r>
    </w:p>
    <w:p>
      <w:pPr>
        <w:spacing w:before="200" w:after="160" w:line="264" w:lineRule="auto"/>
      </w:pPr>
      <w:r>
        <w:rPr>
          <w:rFonts w:ascii="Microsoft YaHei" w:hAnsi="Microsoft YaHei" w:eastAsia="Microsoft YaHei"/>
          <w:b/>
          <w:color w:val="17375E"/>
          <w:sz w:val="32"/>
        </w:rPr>
        <w:t>九、传播方案与媒体内容设计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36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375E"/>
                <w:sz w:val="21"/>
              </w:rPr>
              <w:t>时间节点</w:t>
            </w:r>
          </w:p>
        </w:tc>
        <w:tc>
          <w:tcPr>
            <w:tcW w:type="dxa" w:w="4873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36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375E"/>
                <w:sz w:val="21"/>
              </w:rPr>
              <w:t>传播动作</w:t>
            </w:r>
          </w:p>
        </w:tc>
      </w:tr>
      <w:tr>
        <w:tc>
          <w:tcPr>
            <w:tcW w:type="dxa" w:w="487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color w:val="333333"/>
                <w:sz w:val="20"/>
              </w:rPr>
              <w:t>会前7-10天</w:t>
            </w:r>
          </w:p>
        </w:tc>
        <w:tc>
          <w:tcPr>
            <w:tcW w:type="dxa" w:w="487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发布首张主视觉海报、议程海报、报名二维码</w:t>
            </w:r>
          </w:p>
        </w:tc>
      </w:tr>
      <w:tr>
        <w:tc>
          <w:tcPr>
            <w:tcW w:type="dxa" w:w="487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color w:val="333333"/>
                <w:sz w:val="20"/>
              </w:rPr>
              <w:t>会前3-5天</w:t>
            </w:r>
          </w:p>
        </w:tc>
        <w:tc>
          <w:tcPr>
            <w:tcW w:type="dxa" w:w="487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连续推送三篇预热内容：为什么是认知智能、六大产品是什么、现场将看见什么Demo</w:t>
            </w:r>
          </w:p>
        </w:tc>
      </w:tr>
      <w:tr>
        <w:tc>
          <w:tcPr>
            <w:tcW w:type="dxa" w:w="487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color w:val="333333"/>
                <w:sz w:val="20"/>
              </w:rPr>
              <w:t>会前1天</w:t>
            </w:r>
          </w:p>
        </w:tc>
        <w:tc>
          <w:tcPr>
            <w:tcW w:type="dxa" w:w="487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发布30秒倒计时短视频，突出“明日首发”</w:t>
            </w:r>
          </w:p>
        </w:tc>
      </w:tr>
      <w:tr>
        <w:tc>
          <w:tcPr>
            <w:tcW w:type="dxa" w:w="487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color w:val="333333"/>
                <w:sz w:val="20"/>
              </w:rPr>
              <w:t>会中</w:t>
            </w:r>
          </w:p>
        </w:tc>
        <w:tc>
          <w:tcPr>
            <w:tcW w:type="dxa" w:w="487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安排专人拍摄：开场倒计时、关键大屏、嘉宾演讲、实物装备、启动仪式、观众互动</w:t>
            </w:r>
          </w:p>
        </w:tc>
      </w:tr>
      <w:tr>
        <w:tc>
          <w:tcPr>
            <w:tcW w:type="dxa" w:w="487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color w:val="333333"/>
                <w:sz w:val="20"/>
              </w:rPr>
              <w:t>会后24小时内</w:t>
            </w:r>
          </w:p>
        </w:tc>
        <w:tc>
          <w:tcPr>
            <w:tcW w:type="dxa" w:w="487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推出新闻通稿+九宫格图集+1分钟高光视频</w:t>
            </w:r>
          </w:p>
        </w:tc>
      </w:tr>
      <w:tr>
        <w:tc>
          <w:tcPr>
            <w:tcW w:type="dxa" w:w="487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color w:val="333333"/>
                <w:sz w:val="20"/>
              </w:rPr>
              <w:t>会后3天内</w:t>
            </w:r>
          </w:p>
        </w:tc>
        <w:tc>
          <w:tcPr>
            <w:tcW w:type="dxa" w:w="487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推出案例长图、金句海报、完整回放链接、合作报名入口</w:t>
            </w:r>
          </w:p>
        </w:tc>
      </w:tr>
    </w:tbl>
    <w:p>
      <w:pPr>
        <w:spacing w:before="200" w:after="160" w:line="264" w:lineRule="auto"/>
      </w:pPr>
      <w:r>
        <w:rPr>
          <w:rFonts w:ascii="Microsoft YaHei" w:hAnsi="Microsoft YaHei" w:eastAsia="Microsoft YaHei"/>
          <w:b/>
          <w:color w:val="17375E"/>
          <w:sz w:val="32"/>
        </w:rPr>
        <w:t>十、执行分工建议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36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375E"/>
                <w:sz w:val="21"/>
              </w:rPr>
              <w:t>工作组</w:t>
            </w:r>
          </w:p>
        </w:tc>
        <w:tc>
          <w:tcPr>
            <w:tcW w:type="dxa" w:w="4873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36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375E"/>
                <w:sz w:val="21"/>
              </w:rPr>
              <w:t>职责</w:t>
            </w:r>
          </w:p>
        </w:tc>
      </w:tr>
      <w:tr>
        <w:tc>
          <w:tcPr>
            <w:tcW w:type="dxa" w:w="487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color w:val="333333"/>
                <w:sz w:val="20"/>
              </w:rPr>
              <w:t>总控组</w:t>
            </w:r>
          </w:p>
        </w:tc>
        <w:tc>
          <w:tcPr>
            <w:tcW w:type="dxa" w:w="487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全流程统筹、议程卡点、嘉宾衔接、突发情况决策</w:t>
            </w:r>
          </w:p>
        </w:tc>
      </w:tr>
      <w:tr>
        <w:tc>
          <w:tcPr>
            <w:tcW w:type="dxa" w:w="487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color w:val="333333"/>
                <w:sz w:val="20"/>
              </w:rPr>
              <w:t>内容组</w:t>
            </w:r>
          </w:p>
        </w:tc>
        <w:tc>
          <w:tcPr>
            <w:tcW w:type="dxa" w:w="487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PPT统稿、主持词、演讲脚本、发布口径统一</w:t>
            </w:r>
          </w:p>
        </w:tc>
      </w:tr>
      <w:tr>
        <w:tc>
          <w:tcPr>
            <w:tcW w:type="dxa" w:w="487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color w:val="333333"/>
                <w:sz w:val="20"/>
              </w:rPr>
              <w:t>演示组</w:t>
            </w:r>
          </w:p>
        </w:tc>
        <w:tc>
          <w:tcPr>
            <w:tcW w:type="dxa" w:w="487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Demo环境部署、录屏备份、跨端联动、设备调试</w:t>
            </w:r>
          </w:p>
        </w:tc>
      </w:tr>
      <w:tr>
        <w:tc>
          <w:tcPr>
            <w:tcW w:type="dxa" w:w="487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color w:val="333333"/>
                <w:sz w:val="20"/>
              </w:rPr>
              <w:t>舞美组</w:t>
            </w:r>
          </w:p>
        </w:tc>
        <w:tc>
          <w:tcPr>
            <w:tcW w:type="dxa" w:w="487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主视觉、背景屏、启动仪式素材、签名墙与物料</w:t>
            </w:r>
          </w:p>
        </w:tc>
      </w:tr>
      <w:tr>
        <w:tc>
          <w:tcPr>
            <w:tcW w:type="dxa" w:w="487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color w:val="333333"/>
                <w:sz w:val="20"/>
              </w:rPr>
              <w:t>会务组</w:t>
            </w:r>
          </w:p>
        </w:tc>
        <w:tc>
          <w:tcPr>
            <w:tcW w:type="dxa" w:w="487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嘉宾接待、签到、座次、茶歇、证件与物资</w:t>
            </w:r>
          </w:p>
        </w:tc>
      </w:tr>
      <w:tr>
        <w:tc>
          <w:tcPr>
            <w:tcW w:type="dxa" w:w="487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color w:val="333333"/>
                <w:sz w:val="20"/>
              </w:rPr>
              <w:t>传播组</w:t>
            </w:r>
          </w:p>
        </w:tc>
        <w:tc>
          <w:tcPr>
            <w:tcW w:type="dxa" w:w="487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摄影摄像、直播、新闻稿、短视频、会后素材整理</w:t>
            </w:r>
          </w:p>
        </w:tc>
      </w:tr>
      <w:tr>
        <w:tc>
          <w:tcPr>
            <w:tcW w:type="dxa" w:w="487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color w:val="333333"/>
                <w:sz w:val="20"/>
              </w:rPr>
              <w:t>招商合作组</w:t>
            </w:r>
          </w:p>
        </w:tc>
        <w:tc>
          <w:tcPr>
            <w:tcW w:type="dxa" w:w="487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高校/企业对接、会后合作线索收集与跟进</w:t>
            </w:r>
          </w:p>
        </w:tc>
      </w:tr>
    </w:tbl>
    <w:p>
      <w:pPr>
        <w:spacing w:before="200" w:after="160" w:line="264" w:lineRule="auto"/>
      </w:pPr>
      <w:r>
        <w:rPr>
          <w:rFonts w:ascii="Microsoft YaHei" w:hAnsi="Microsoft YaHei" w:eastAsia="Microsoft YaHei"/>
          <w:b/>
          <w:color w:val="17375E"/>
          <w:sz w:val="32"/>
        </w:rPr>
        <w:t>十一、关键物料清单</w:t>
      </w:r>
    </w:p>
    <w:p>
      <w:pPr>
        <w:pStyle w:val="ListBullet"/>
        <w:spacing w:after="60" w:line="324" w:lineRule="auto"/>
        <w:ind w:left="340"/>
      </w:pPr>
      <w:r>
        <w:rPr>
          <w:rFonts w:ascii="Microsoft YaHei" w:hAnsi="Microsoft YaHei" w:eastAsia="Microsoft YaHei"/>
          <w:color w:val="333333"/>
          <w:sz w:val="21"/>
        </w:rPr>
        <w:t>主视觉背景板/LED主KV</w:t>
      </w:r>
    </w:p>
    <w:p>
      <w:pPr>
        <w:pStyle w:val="ListBullet"/>
        <w:spacing w:after="60" w:line="324" w:lineRule="auto"/>
        <w:ind w:left="340"/>
      </w:pPr>
      <w:r>
        <w:rPr>
          <w:rFonts w:ascii="Microsoft YaHei" w:hAnsi="Microsoft YaHei" w:eastAsia="Microsoft YaHei"/>
          <w:color w:val="333333"/>
          <w:sz w:val="21"/>
        </w:rPr>
        <w:t>倒计时视频与3分钟概念片</w:t>
      </w:r>
    </w:p>
    <w:p>
      <w:pPr>
        <w:pStyle w:val="ListBullet"/>
        <w:spacing w:after="60" w:line="324" w:lineRule="auto"/>
        <w:ind w:left="340"/>
      </w:pPr>
      <w:r>
        <w:rPr>
          <w:rFonts w:ascii="Microsoft YaHei" w:hAnsi="Microsoft YaHei" w:eastAsia="Microsoft YaHei"/>
          <w:color w:val="333333"/>
          <w:sz w:val="21"/>
        </w:rPr>
        <w:t>主持词、嘉宾手卡、倒计时提示牌</w:t>
      </w:r>
    </w:p>
    <w:p>
      <w:pPr>
        <w:pStyle w:val="ListBullet"/>
        <w:spacing w:after="60" w:line="324" w:lineRule="auto"/>
        <w:ind w:left="340"/>
      </w:pPr>
      <w:r>
        <w:rPr>
          <w:rFonts w:ascii="Microsoft YaHei" w:hAnsi="Microsoft YaHei" w:eastAsia="Microsoft YaHei"/>
          <w:color w:val="333333"/>
          <w:sz w:val="21"/>
        </w:rPr>
        <w:t>会场导视牌、签到背景板、嘉宾席位卡</w:t>
      </w:r>
    </w:p>
    <w:p>
      <w:pPr>
        <w:pStyle w:val="ListBullet"/>
        <w:spacing w:after="60" w:line="324" w:lineRule="auto"/>
        <w:ind w:left="340"/>
      </w:pPr>
      <w:r>
        <w:rPr>
          <w:rFonts w:ascii="Microsoft YaHei" w:hAnsi="Microsoft YaHei" w:eastAsia="Microsoft YaHei"/>
          <w:color w:val="333333"/>
          <w:sz w:val="21"/>
        </w:rPr>
        <w:t>产品矩阵海报、案例成果海报、二维码立牌</w:t>
      </w:r>
    </w:p>
    <w:p>
      <w:pPr>
        <w:pStyle w:val="ListBullet"/>
        <w:spacing w:after="60" w:line="324" w:lineRule="auto"/>
        <w:ind w:left="340"/>
      </w:pPr>
      <w:r>
        <w:rPr>
          <w:rFonts w:ascii="Microsoft YaHei" w:hAnsi="Microsoft YaHei" w:eastAsia="Microsoft YaHei"/>
          <w:color w:val="333333"/>
          <w:sz w:val="21"/>
        </w:rPr>
        <w:t>演示电脑、备用电脑、翻页笔、提词器（如有）</w:t>
      </w:r>
    </w:p>
    <w:p>
      <w:pPr>
        <w:pStyle w:val="ListBullet"/>
        <w:spacing w:after="60" w:line="324" w:lineRule="auto"/>
        <w:ind w:left="340"/>
      </w:pPr>
      <w:r>
        <w:rPr>
          <w:rFonts w:ascii="Microsoft YaHei" w:hAnsi="Microsoft YaHei" w:eastAsia="Microsoft YaHei"/>
          <w:color w:val="333333"/>
          <w:sz w:val="21"/>
        </w:rPr>
        <w:t>双机位直播设备、导播切换台、拾音设备</w:t>
      </w:r>
    </w:p>
    <w:p>
      <w:pPr>
        <w:pStyle w:val="ListBullet"/>
        <w:spacing w:after="60" w:line="324" w:lineRule="auto"/>
        <w:ind w:left="340"/>
      </w:pPr>
      <w:r>
        <w:rPr>
          <w:rFonts w:ascii="Microsoft YaHei" w:hAnsi="Microsoft YaHei" w:eastAsia="Microsoft YaHei"/>
          <w:color w:val="333333"/>
          <w:sz w:val="21"/>
        </w:rPr>
        <w:t>启动仪式素材包（点亮动画/授牌证书/合作倡议书）</w:t>
      </w:r>
    </w:p>
    <w:p>
      <w:pPr>
        <w:pStyle w:val="ListBullet"/>
        <w:spacing w:after="60" w:line="324" w:lineRule="auto"/>
        <w:ind w:left="340"/>
      </w:pPr>
      <w:r>
        <w:rPr>
          <w:rFonts w:ascii="Microsoft YaHei" w:hAnsi="Microsoft YaHei" w:eastAsia="Microsoft YaHei"/>
          <w:color w:val="333333"/>
          <w:sz w:val="21"/>
        </w:rPr>
        <w:t>媒体采访背景板与采访提纲</w:t>
      </w:r>
    </w:p>
    <w:p>
      <w:pPr>
        <w:spacing w:before="200" w:after="160" w:line="264" w:lineRule="auto"/>
      </w:pPr>
      <w:r>
        <w:rPr>
          <w:rFonts w:ascii="Microsoft YaHei" w:hAnsi="Microsoft YaHei" w:eastAsia="Microsoft YaHei"/>
          <w:b/>
          <w:color w:val="17375E"/>
          <w:sz w:val="32"/>
        </w:rPr>
        <w:t>十二、时间推进表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36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375E"/>
                <w:sz w:val="21"/>
              </w:rPr>
              <w:t>时间</w:t>
            </w:r>
          </w:p>
        </w:tc>
        <w:tc>
          <w:tcPr>
            <w:tcW w:type="dxa" w:w="4873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36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375E"/>
                <w:sz w:val="21"/>
              </w:rPr>
              <w:t>主要任务</w:t>
            </w:r>
          </w:p>
        </w:tc>
      </w:tr>
      <w:tr>
        <w:tc>
          <w:tcPr>
            <w:tcW w:type="dxa" w:w="487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color w:val="333333"/>
                <w:sz w:val="20"/>
              </w:rPr>
              <w:t>T-25天</w:t>
            </w:r>
          </w:p>
        </w:tc>
        <w:tc>
          <w:tcPr>
            <w:tcW w:type="dxa" w:w="487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确定总方案、主视觉、议程升级版、嘉宾邀请口径</w:t>
            </w:r>
          </w:p>
        </w:tc>
      </w:tr>
      <w:tr>
        <w:tc>
          <w:tcPr>
            <w:tcW w:type="dxa" w:w="487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color w:val="333333"/>
                <w:sz w:val="20"/>
              </w:rPr>
              <w:t>T-20天</w:t>
            </w:r>
          </w:p>
        </w:tc>
        <w:tc>
          <w:tcPr>
            <w:tcW w:type="dxa" w:w="487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发邀请函、明确合作方发言名单、传播预热启动</w:t>
            </w:r>
          </w:p>
        </w:tc>
      </w:tr>
      <w:tr>
        <w:tc>
          <w:tcPr>
            <w:tcW w:type="dxa" w:w="487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color w:val="333333"/>
                <w:sz w:val="20"/>
              </w:rPr>
              <w:t>T-15天</w:t>
            </w:r>
          </w:p>
        </w:tc>
        <w:tc>
          <w:tcPr>
            <w:tcW w:type="dxa" w:w="487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完成各板块PPT初稿和概念片脚本</w:t>
            </w:r>
          </w:p>
        </w:tc>
      </w:tr>
      <w:tr>
        <w:tc>
          <w:tcPr>
            <w:tcW w:type="dxa" w:w="487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color w:val="333333"/>
                <w:sz w:val="20"/>
              </w:rPr>
              <w:t>T-10天</w:t>
            </w:r>
          </w:p>
        </w:tc>
        <w:tc>
          <w:tcPr>
            <w:tcW w:type="dxa" w:w="487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完成第一次全流程彩排，锁定主KV与物料设计</w:t>
            </w:r>
          </w:p>
        </w:tc>
      </w:tr>
      <w:tr>
        <w:tc>
          <w:tcPr>
            <w:tcW w:type="dxa" w:w="487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color w:val="333333"/>
                <w:sz w:val="20"/>
              </w:rPr>
              <w:t>T-7天</w:t>
            </w:r>
          </w:p>
        </w:tc>
        <w:tc>
          <w:tcPr>
            <w:tcW w:type="dxa" w:w="487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媒体预热、会场物料下单、演示环境联调</w:t>
            </w:r>
          </w:p>
        </w:tc>
      </w:tr>
      <w:tr>
        <w:tc>
          <w:tcPr>
            <w:tcW w:type="dxa" w:w="487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color w:val="333333"/>
                <w:sz w:val="20"/>
              </w:rPr>
              <w:t>T-3天</w:t>
            </w:r>
          </w:p>
        </w:tc>
        <w:tc>
          <w:tcPr>
            <w:tcW w:type="dxa" w:w="487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第二次全流程彩排，确认主持词、走位、灯光、切屏</w:t>
            </w:r>
          </w:p>
        </w:tc>
      </w:tr>
      <w:tr>
        <w:tc>
          <w:tcPr>
            <w:tcW w:type="dxa" w:w="487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color w:val="333333"/>
                <w:sz w:val="20"/>
              </w:rPr>
              <w:t>T-1天</w:t>
            </w:r>
          </w:p>
        </w:tc>
        <w:tc>
          <w:tcPr>
            <w:tcW w:type="dxa" w:w="487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现场搭建、设备测试、彩排、领导嘉宾确认</w:t>
            </w:r>
          </w:p>
        </w:tc>
      </w:tr>
      <w:tr>
        <w:tc>
          <w:tcPr>
            <w:tcW w:type="dxa" w:w="487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color w:val="333333"/>
                <w:sz w:val="20"/>
              </w:rPr>
              <w:t>活动当天</w:t>
            </w:r>
          </w:p>
        </w:tc>
        <w:tc>
          <w:tcPr>
            <w:tcW w:type="dxa" w:w="487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按执行表推进，设置总控时间节点表和应急联系人表</w:t>
            </w:r>
          </w:p>
        </w:tc>
      </w:tr>
      <w:tr>
        <w:tc>
          <w:tcPr>
            <w:tcW w:type="dxa" w:w="487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color w:val="333333"/>
                <w:sz w:val="20"/>
              </w:rPr>
              <w:t>会后1-3天</w:t>
            </w:r>
          </w:p>
        </w:tc>
        <w:tc>
          <w:tcPr>
            <w:tcW w:type="dxa" w:w="487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新闻稿、视频、纪要、线索跟进同步完成</w:t>
            </w:r>
          </w:p>
        </w:tc>
      </w:tr>
    </w:tbl>
    <w:p>
      <w:pPr>
        <w:spacing w:before="200" w:after="160" w:line="264" w:lineRule="auto"/>
      </w:pPr>
      <w:r>
        <w:rPr>
          <w:rFonts w:ascii="Microsoft YaHei" w:hAnsi="Microsoft YaHei" w:eastAsia="Microsoft YaHei"/>
          <w:b/>
          <w:color w:val="17375E"/>
          <w:sz w:val="32"/>
        </w:rPr>
        <w:t>十三、风险控制与应急预案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36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375E"/>
                <w:sz w:val="21"/>
              </w:rPr>
              <w:t>风险点</w:t>
            </w:r>
          </w:p>
        </w:tc>
        <w:tc>
          <w:tcPr>
            <w:tcW w:type="dxa" w:w="4873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36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375E"/>
                <w:sz w:val="21"/>
              </w:rPr>
              <w:t>应对措施</w:t>
            </w:r>
          </w:p>
        </w:tc>
      </w:tr>
      <w:tr>
        <w:tc>
          <w:tcPr>
            <w:tcW w:type="dxa" w:w="487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color w:val="333333"/>
                <w:sz w:val="20"/>
              </w:rPr>
              <w:t>Demo失误</w:t>
            </w:r>
          </w:p>
        </w:tc>
        <w:tc>
          <w:tcPr>
            <w:tcW w:type="dxa" w:w="487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所有关键演示准备录屏备份；讲解稿能在静态PPT下独立完成</w:t>
            </w:r>
          </w:p>
        </w:tc>
      </w:tr>
      <w:tr>
        <w:tc>
          <w:tcPr>
            <w:tcW w:type="dxa" w:w="487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color w:val="333333"/>
                <w:sz w:val="20"/>
              </w:rPr>
              <w:t>网络中断</w:t>
            </w:r>
          </w:p>
        </w:tc>
        <w:tc>
          <w:tcPr>
            <w:tcW w:type="dxa" w:w="487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有线网络为主，4G/5G为备；直播与演示双链路</w:t>
            </w:r>
          </w:p>
        </w:tc>
      </w:tr>
      <w:tr>
        <w:tc>
          <w:tcPr>
            <w:tcW w:type="dxa" w:w="487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color w:val="333333"/>
                <w:sz w:val="20"/>
              </w:rPr>
              <w:t>发言超时</w:t>
            </w:r>
          </w:p>
        </w:tc>
        <w:tc>
          <w:tcPr>
            <w:tcW w:type="dxa" w:w="487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主持人、总控、举牌三层提醒；每位发言人提前确认‘红线时间’</w:t>
            </w:r>
          </w:p>
        </w:tc>
      </w:tr>
      <w:tr>
        <w:tc>
          <w:tcPr>
            <w:tcW w:type="dxa" w:w="487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color w:val="333333"/>
                <w:sz w:val="20"/>
              </w:rPr>
              <w:t>现场氛围偏弱</w:t>
            </w:r>
          </w:p>
        </w:tc>
        <w:tc>
          <w:tcPr>
            <w:tcW w:type="dxa" w:w="487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提前安排互动问题、首排嘉宾、拍手点和媒体机位</w:t>
            </w:r>
          </w:p>
        </w:tc>
      </w:tr>
      <w:tr>
        <w:tc>
          <w:tcPr>
            <w:tcW w:type="dxa" w:w="487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color w:val="333333"/>
                <w:sz w:val="20"/>
              </w:rPr>
              <w:t>应用背书不够</w:t>
            </w:r>
          </w:p>
        </w:tc>
        <w:tc>
          <w:tcPr>
            <w:tcW w:type="dxa" w:w="487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务必落实至少1-2位业主/合作方上台或视频连线发言</w:t>
            </w:r>
          </w:p>
        </w:tc>
      </w:tr>
      <w:tr>
        <w:tc>
          <w:tcPr>
            <w:tcW w:type="dxa" w:w="487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color w:val="333333"/>
                <w:sz w:val="20"/>
              </w:rPr>
              <w:t>会后转化断档</w:t>
            </w:r>
          </w:p>
        </w:tc>
        <w:tc>
          <w:tcPr>
            <w:tcW w:type="dxa" w:w="487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活动当天即收集试用、合作、共建报名表，48小时内专人回访</w:t>
            </w:r>
          </w:p>
        </w:tc>
      </w:tr>
    </w:tbl>
    <w:p>
      <w:pPr>
        <w:spacing w:before="200" w:after="160" w:line="264" w:lineRule="auto"/>
      </w:pPr>
      <w:r>
        <w:rPr>
          <w:rFonts w:ascii="Microsoft YaHei" w:hAnsi="Microsoft YaHei" w:eastAsia="Microsoft YaHei"/>
          <w:b/>
          <w:color w:val="17375E"/>
          <w:sz w:val="32"/>
        </w:rPr>
        <w:t>十四、预期成果</w:t>
      </w:r>
    </w:p>
    <w:p>
      <w:pPr>
        <w:pStyle w:val="ListBullet"/>
        <w:spacing w:after="60" w:line="324" w:lineRule="auto"/>
        <w:ind w:left="340"/>
      </w:pPr>
      <w:r>
        <w:rPr>
          <w:rFonts w:ascii="Microsoft YaHei" w:hAnsi="Microsoft YaHei" w:eastAsia="Microsoft YaHei"/>
          <w:color w:val="333333"/>
          <w:sz w:val="21"/>
        </w:rPr>
        <w:t>形成一场具有明显产品发布属性、而非普通学术分会场属性的品牌活动。</w:t>
      </w:r>
    </w:p>
    <w:p>
      <w:pPr>
        <w:pStyle w:val="ListBullet"/>
        <w:spacing w:after="60" w:line="324" w:lineRule="auto"/>
        <w:ind w:left="340"/>
      </w:pPr>
      <w:r>
        <w:rPr>
          <w:rFonts w:ascii="Microsoft YaHei" w:hAnsi="Microsoft YaHei" w:eastAsia="Microsoft YaHei"/>
          <w:color w:val="333333"/>
          <w:sz w:val="21"/>
        </w:rPr>
        <w:t>让六大产品、两大典型案例和HydroClaw品牌在目标受众中建立清晰记忆。</w:t>
      </w:r>
    </w:p>
    <w:p>
      <w:pPr>
        <w:pStyle w:val="ListBullet"/>
        <w:spacing w:after="60" w:line="324" w:lineRule="auto"/>
        <w:ind w:left="340"/>
      </w:pPr>
      <w:r>
        <w:rPr>
          <w:rFonts w:ascii="Microsoft YaHei" w:hAnsi="Microsoft YaHei" w:eastAsia="Microsoft YaHei"/>
          <w:color w:val="333333"/>
          <w:sz w:val="21"/>
        </w:rPr>
        <w:t>促成高校、业主、合作企业对课程共建、试点测试、平台接入等合作意向。</w:t>
      </w:r>
    </w:p>
    <w:p>
      <w:pPr>
        <w:pStyle w:val="ListBullet"/>
        <w:spacing w:after="60" w:line="324" w:lineRule="auto"/>
        <w:ind w:left="340"/>
      </w:pPr>
      <w:r>
        <w:rPr>
          <w:rFonts w:ascii="Microsoft YaHei" w:hAnsi="Microsoft YaHei" w:eastAsia="Microsoft YaHei"/>
          <w:color w:val="333333"/>
          <w:sz w:val="21"/>
        </w:rPr>
        <w:t>沉淀一套可复制的“水网认知智能产品发布”模板，为后续全国路演或专题论坛提供样板。</w:t>
      </w:r>
    </w:p>
    <w:p>
      <w:pPr>
        <w:spacing w:before="200" w:after="160" w:line="264" w:lineRule="auto"/>
      </w:pPr>
      <w:r>
        <w:rPr>
          <w:rFonts w:ascii="Microsoft YaHei" w:hAnsi="Microsoft YaHei" w:eastAsia="Microsoft YaHei"/>
          <w:b/>
          <w:color w:val="17375E"/>
          <w:sz w:val="32"/>
        </w:rPr>
        <w:t>附：对原始初步方案的重点增强建议</w:t>
      </w:r>
    </w:p>
    <w:p>
      <w:pPr>
        <w:spacing w:before="0" w:after="100" w:line="348" w:lineRule="auto"/>
        <w:ind w:firstLine="420"/>
      </w:pPr>
      <w:r>
        <w:rPr>
          <w:rFonts w:ascii="Microsoft YaHei" w:hAnsi="Microsoft YaHei" w:eastAsia="Microsoft YaHei"/>
          <w:b w:val="0"/>
          <w:color w:val="333333"/>
          <w:sz w:val="21"/>
        </w:rPr>
        <w:t>一是增加‘应用见证/业主发言’环节，补齐发布会最关键的第三方证明；二是把开场、启动、收尾都做成可传播的标准动作，避免只是内容堆叠；三是把会后行动从‘回放上线’升级为‘线索转化’，让发布会成为合作入口；四是对视觉与物料统一设计，让所有人从第一眼就感受到这是一次正式发布。</w:t>
      </w:r>
    </w:p>
    <w:p>
      <w:pPr>
        <w:spacing w:before="240" w:after="0" w:line="288" w:lineRule="auto"/>
      </w:pPr>
      <w:r>
        <w:rPr>
          <w:rFonts w:ascii="Microsoft YaHei" w:hAnsi="Microsoft YaHei" w:eastAsia="Microsoft YaHei"/>
          <w:b/>
          <w:color w:val="666666"/>
          <w:sz w:val="22"/>
        </w:rPr>
        <w:t>—— 完 ——</w:t>
      </w:r>
    </w:p>
    <w:sectPr w:rsidR="00FC693F" w:rsidRPr="0006063C" w:rsidSect="00034616">
      <w:footerReference w:type="default" r:id="rId9"/>
      <w:pgSz w:w="12240" w:h="15840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666666"/>
        <w:sz w:val="18"/>
      </w:rPr>
      <w:t xml:space="preserve">第 </w:t>
    </w:r>
    <w:r>
      <w:fldChar w:fldCharType="begin"/>
      <w:instrText xml:space="preserve">PAGE</w:instrText>
      <w:fldChar w:fldCharType="end"/>
    </w:r>
    <w:r>
      <w:rPr>
        <w:rFonts w:ascii="Microsoft YaHei" w:hAnsi="Microsoft YaHei" w:eastAsia="Microsoft YaHei"/>
        <w:color w:val="666666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