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B3D91"/>
          </w:tcPr>
          <w:p>
            <w:pPr>
              <w:spacing w:before="32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44"/>
              </w:rPr>
              <w:t>水网认知智能产品发布会</w:t>
            </w:r>
          </w:p>
          <w:p>
            <w:pPr>
              <w:spacing w:after="320"/>
              <w:jc w:val="center"/>
            </w:pPr>
            <w:r>
              <w:rPr>
                <w:rFonts w:ascii="微软雅黑" w:hAnsi="微软雅黑" w:eastAsia="微软雅黑"/>
                <w:color w:val="D6E8FF"/>
                <w:sz w:val="26"/>
              </w:rPr>
              <w:t>实施方案  |  领导汇报版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6BD4"/>
          </w:tcPr>
          <w:p>
            <w:pPr>
              <w:spacing w:before="80" w:after="80"/>
              <w:ind w:left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活动日期</w:t>
            </w:r>
          </w:p>
        </w:tc>
        <w:tc>
          <w:tcPr>
            <w:tcW w:type="dxa" w:w="2353"/>
            <w:shd w:val="clear" w:color="auto" w:fill="1A6BD4"/>
          </w:tcPr>
          <w:p>
            <w:pPr>
              <w:spacing w:before="80" w:after="80"/>
              <w:ind w:left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活动地点</w:t>
            </w:r>
          </w:p>
        </w:tc>
        <w:tc>
          <w:tcPr>
            <w:tcW w:type="dxa" w:w="2353"/>
            <w:shd w:val="clear" w:color="auto" w:fill="1A6BD4"/>
          </w:tcPr>
          <w:p>
            <w:pPr>
              <w:spacing w:before="80" w:after="80"/>
              <w:ind w:left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所属会议</w:t>
            </w:r>
          </w:p>
        </w:tc>
        <w:tc>
          <w:tcPr>
            <w:tcW w:type="dxa" w:w="2353"/>
            <w:shd w:val="clear" w:color="auto" w:fill="1A6BD4"/>
          </w:tcPr>
          <w:p>
            <w:pPr>
              <w:spacing w:before="80" w:after="80"/>
              <w:ind w:left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会议定位</w:t>
            </w:r>
          </w:p>
        </w:tc>
      </w:tr>
      <w:tr>
        <w:tc>
          <w:tcPr>
            <w:tcW w:type="dxa" w:w="2353"/>
            <w:shd w:val="clear" w:color="auto" w:fill="D6E8FF"/>
          </w:tcPr>
          <w:p>
            <w:pPr>
              <w:spacing w:before="100" w:after="100"/>
              <w:ind w:left="0"/>
              <w:jc w:val="center"/>
            </w:pPr>
            <w:r>
              <w:rPr>
                <w:rFonts w:ascii="微软雅黑" w:hAnsi="微软雅黑" w:eastAsia="微软雅黑"/>
                <w:b w:val="0"/>
                <w:color w:val="0B3D91"/>
                <w:sz w:val="19"/>
              </w:rPr>
              <w:t>4月25日（下午）</w:t>
              <w:br/>
              <w:t>4月26日（上午）</w:t>
            </w:r>
          </w:p>
        </w:tc>
        <w:tc>
          <w:tcPr>
            <w:tcW w:type="dxa" w:w="2353"/>
            <w:shd w:val="clear" w:color="auto" w:fill="D6E8FF"/>
          </w:tcPr>
          <w:p>
            <w:pPr>
              <w:spacing w:before="100" w:after="100"/>
              <w:ind w:left="0"/>
              <w:jc w:val="center"/>
            </w:pPr>
            <w:r>
              <w:rPr>
                <w:rFonts w:ascii="微软雅黑" w:hAnsi="微软雅黑" w:eastAsia="微软雅黑"/>
                <w:b w:val="0"/>
                <w:color w:val="0B3D91"/>
                <w:sz w:val="19"/>
              </w:rPr>
              <w:t>河北工程大学</w:t>
            </w:r>
          </w:p>
        </w:tc>
        <w:tc>
          <w:tcPr>
            <w:tcW w:type="dxa" w:w="2353"/>
            <w:shd w:val="clear" w:color="auto" w:fill="D6E8FF"/>
          </w:tcPr>
          <w:p>
            <w:pPr>
              <w:spacing w:before="100" w:after="100"/>
              <w:ind w:left="0"/>
              <w:jc w:val="center"/>
            </w:pPr>
            <w:r>
              <w:rPr>
                <w:rFonts w:ascii="微软雅黑" w:hAnsi="微软雅黑" w:eastAsia="微软雅黑"/>
                <w:b w:val="0"/>
                <w:color w:val="0B3D91"/>
                <w:sz w:val="19"/>
              </w:rPr>
              <w:t>节水产业创新发展大会</w:t>
              <w:br/>
              <w:t>第七分会场</w:t>
            </w:r>
          </w:p>
        </w:tc>
        <w:tc>
          <w:tcPr>
            <w:tcW w:type="dxa" w:w="2353"/>
            <w:shd w:val="clear" w:color="auto" w:fill="D6E8FF"/>
          </w:tcPr>
          <w:p>
            <w:pPr>
              <w:spacing w:before="100" w:after="100"/>
              <w:ind w:left="0"/>
              <w:jc w:val="center"/>
            </w:pPr>
            <w:r>
              <w:rPr>
                <w:rFonts w:ascii="微软雅黑" w:hAnsi="微软雅黑" w:eastAsia="微软雅黑"/>
                <w:b w:val="0"/>
                <w:color w:val="0B3D91"/>
                <w:sz w:val="19"/>
              </w:rPr>
              <w:t>产品发布 · 行业报告</w:t>
              <w:br/>
              <w:t>合作对接 · 人才培养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B3D91"/>
          </w:tcPr>
          <w:p>
            <w:pPr>
              <w:spacing w:before="100" w:after="100"/>
              <w:ind w:left="198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一、方案总述</w:t>
            </w:r>
          </w:p>
        </w:tc>
      </w:tr>
    </w:tbl>
    <w:p>
      <w:pPr>
        <w:spacing w:before="0" w:after="40"/>
      </w:pPr>
    </w:p>
    <w:p>
      <w:pPr>
        <w:spacing w:after="80"/>
      </w:pPr>
      <w:r>
        <w:rPr>
          <w:rFonts w:ascii="微软雅黑" w:hAnsi="微软雅黑" w:eastAsia="微软雅黑"/>
          <w:color w:val="1A1A2E"/>
          <w:sz w:val="20"/>
        </w:rPr>
        <w:t>本方案以"产品发布会"逻辑对原学术分会场方案进行二次设计，围绕「首发·首秀·首批合作·首轮传播」四个关键词，打造一场兼具故事线、仪式感与传播力的两天品牌活动。25日下午聚焦产品体系首发，26日上午深化行业应用与生态合作。</w:t>
      </w:r>
    </w:p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D91"/>
          </w:tcPr>
          <w:p>
            <w:pPr>
              <w:spacing w:before="120" w:after="120"/>
              <w:ind w:left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发布六大核心产品</w:t>
            </w:r>
          </w:p>
        </w:tc>
        <w:tc>
          <w:tcPr>
            <w:tcW w:type="dxa" w:w="3137"/>
            <w:shd w:val="clear" w:color="auto" w:fill="1A6BD4"/>
          </w:tcPr>
          <w:p>
            <w:pPr>
              <w:spacing w:before="120" w:after="120"/>
              <w:ind w:left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证明工程可用性</w:t>
            </w:r>
          </w:p>
        </w:tc>
        <w:tc>
          <w:tcPr>
            <w:tcW w:type="dxa" w:w="3137"/>
            <w:shd w:val="clear" w:color="auto" w:fill="00966C"/>
          </w:tcPr>
          <w:p>
            <w:pPr>
              <w:spacing w:before="120" w:after="120"/>
              <w:ind w:left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启动行业合作生态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120" w:after="120"/>
              <w:ind w:left="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8"/>
              </w:rPr>
              <w:t>完整首发产品矩阵，建立清晰品牌记忆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120" w:after="120"/>
              <w:ind w:left="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8"/>
              </w:rPr>
              <w:t>真实案例+在环测试，完成技术可信背书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120" w:after="120"/>
              <w:ind w:left="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8"/>
              </w:rPr>
              <w:t>企业/高校联合，促成课程共建与落地意向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B3D91"/>
          </w:tcPr>
          <w:p>
            <w:pPr>
              <w:spacing w:before="100" w:after="100"/>
              <w:ind w:left="198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二、发布会整体创意设计</w:t>
            </w:r>
          </w:p>
        </w:tc>
      </w:tr>
    </w:tbl>
    <w:p>
      <w:pPr>
        <w:spacing w:before="0" w:after="40"/>
      </w:pPr>
    </w:p>
    <w:p>
      <w:pPr>
        <w:spacing w:before="60" w:after="40"/>
      </w:pPr>
      <w:r>
        <w:rPr>
          <w:rFonts w:ascii="微软雅黑" w:hAnsi="微软雅黑" w:eastAsia="微软雅黑"/>
          <w:b/>
          <w:color w:val="1A6BD4"/>
          <w:sz w:val="22"/>
        </w:rPr>
        <w:t>主题与口号</w:t>
      </w:r>
    </w:p>
    <w:p>
      <w:pPr>
        <w:spacing w:before="20" w:after="20"/>
        <w:ind w:left="283" w:hanging="227"/>
      </w:pPr>
      <w:r>
        <w:rPr>
          <w:rFonts w:ascii="微软雅黑" w:hAnsi="微软雅黑" w:eastAsia="微软雅黑"/>
          <w:color w:val="00B0D0"/>
          <w:sz w:val="16"/>
        </w:rPr>
        <w:t xml:space="preserve">◆  </w:t>
      </w:r>
      <w:r>
        <w:rPr>
          <w:rFonts w:ascii="微软雅黑" w:hAnsi="微软雅黑" w:eastAsia="微软雅黑"/>
          <w:color w:val="1A1A2E"/>
          <w:sz w:val="20"/>
        </w:rPr>
        <w:t>总主题：从数字孪生到认知智能——水网自主运行新范式</w:t>
      </w:r>
    </w:p>
    <w:p>
      <w:pPr>
        <w:spacing w:before="20" w:after="20"/>
        <w:ind w:left="283" w:hanging="227"/>
      </w:pPr>
      <w:r>
        <w:rPr>
          <w:rFonts w:ascii="微软雅黑" w:hAnsi="微软雅黑" w:eastAsia="微软雅黑"/>
          <w:color w:val="00B0D0"/>
          <w:sz w:val="16"/>
        </w:rPr>
        <w:t xml:space="preserve">◆  </w:t>
      </w:r>
      <w:r>
        <w:rPr>
          <w:rFonts w:ascii="微软雅黑" w:hAnsi="微软雅黑" w:eastAsia="微软雅黑"/>
          <w:color w:val="1A1A2E"/>
          <w:sz w:val="20"/>
        </w:rPr>
        <w:t>发布口号：让每一条河流都有自己的AI大脑</w:t>
      </w:r>
    </w:p>
    <w:p>
      <w:pPr>
        <w:spacing w:before="20" w:after="20"/>
        <w:ind w:left="283" w:hanging="227"/>
      </w:pPr>
      <w:r>
        <w:rPr>
          <w:rFonts w:ascii="微软雅黑" w:hAnsi="微软雅黑" w:eastAsia="微软雅黑"/>
          <w:color w:val="00B0D0"/>
          <w:sz w:val="16"/>
        </w:rPr>
        <w:t xml:space="preserve">◆  </w:t>
      </w:r>
      <w:r>
        <w:rPr>
          <w:rFonts w:ascii="微软雅黑" w:hAnsi="微软雅黑" w:eastAsia="微软雅黑"/>
          <w:color w:val="1A1A2E"/>
          <w:sz w:val="20"/>
        </w:rPr>
        <w:t>叙事主线：看懂水 → 管好水 → 用好AI → 验证可信 → 落地应用 → 培养人才</w:t>
      </w:r>
    </w:p>
    <w:p>
      <w:pPr>
        <w:spacing w:before="0" w:after="100"/>
      </w:pPr>
    </w:p>
    <w:p>
      <w:pPr>
        <w:spacing w:after="40"/>
      </w:pPr>
      <w:r>
        <w:rPr>
          <w:rFonts w:ascii="微软雅黑" w:hAnsi="微软雅黑" w:eastAsia="微软雅黑"/>
          <w:b/>
          <w:color w:val="1A6BD4"/>
          <w:sz w:val="22"/>
        </w:rPr>
        <w:t>"三幕式"两天发布结构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D91"/>
          </w:tcPr>
          <w:p>
            <w:pPr>
              <w:spacing w:before="100" w:after="100"/>
              <w:ind w:left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第一幕  开场立势</w:t>
              <w:br/>
              <w:t>（25日14:00）</w:t>
            </w:r>
          </w:p>
        </w:tc>
        <w:tc>
          <w:tcPr>
            <w:tcW w:type="dxa" w:w="3137"/>
            <w:shd w:val="clear" w:color="auto" w:fill="1A6BD4"/>
          </w:tcPr>
          <w:p>
            <w:pPr>
              <w:spacing w:before="100" w:after="100"/>
              <w:ind w:left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第二幕  核心发布</w:t>
              <w:br/>
              <w:t>（25日14:18起）</w:t>
            </w:r>
          </w:p>
        </w:tc>
        <w:tc>
          <w:tcPr>
            <w:tcW w:type="dxa" w:w="3137"/>
            <w:shd w:val="clear" w:color="auto" w:fill="00966C"/>
          </w:tcPr>
          <w:p>
            <w:pPr>
              <w:spacing w:before="100" w:after="100"/>
              <w:ind w:left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第三幕  生态深化</w:t>
              <w:br/>
              <w:t>（26日上午）</w:t>
            </w:r>
          </w:p>
        </w:tc>
      </w:tr>
      <w:tr>
        <w:tc>
          <w:tcPr>
            <w:tcW w:type="dxa" w:w="3137"/>
            <w:shd w:val="clear" w:color="auto" w:fill="D6E8FF"/>
          </w:tcPr>
          <w:p>
            <w:pPr>
              <w:spacing w:before="100" w:after="100"/>
              <w:ind w:left="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8"/>
              </w:rPr>
              <w:t>3分钟概念片+主持串场</w:t>
              <w:br/>
              <w:t>迅速建立宏大叙事</w:t>
            </w:r>
          </w:p>
        </w:tc>
        <w:tc>
          <w:tcPr>
            <w:tcW w:type="dxa" w:w="3137"/>
            <w:shd w:val="clear" w:color="auto" w:fill="D6E8FF"/>
          </w:tcPr>
          <w:p>
            <w:pPr>
              <w:spacing w:before="100" w:after="100"/>
              <w:ind w:left="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8"/>
              </w:rPr>
              <w:t>六大产品首发+案例连演</w:t>
              <w:br/>
              <w:t>三端联动演示</w:t>
            </w:r>
          </w:p>
        </w:tc>
        <w:tc>
          <w:tcPr>
            <w:tcW w:type="dxa" w:w="3137"/>
            <w:shd w:val="clear" w:color="auto" w:fill="D6E8FF"/>
          </w:tcPr>
          <w:p>
            <w:pPr>
              <w:spacing w:before="100" w:after="100"/>
              <w:ind w:left="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8"/>
              </w:rPr>
              <w:t>行业报告+人才培养</w:t>
              <w:br/>
              <w:t>合作签约/共建启动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6BD4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科技感</w:t>
              <w:br/>
            </w:r>
            <w:r>
              <w:rPr>
                <w:rFonts w:ascii="微软雅黑" w:hAnsi="微软雅黑" w:eastAsia="微软雅黑"/>
                <w:color w:val="FFFFFF"/>
                <w:sz w:val="16"/>
              </w:rPr>
              <w:t>大屏·倒计时</w:t>
              <w:br/>
              <w:t>产品矩阵动画</w:t>
            </w:r>
          </w:p>
        </w:tc>
        <w:tc>
          <w:tcPr>
            <w:tcW w:type="dxa" w:w="2353"/>
            <w:shd w:val="clear" w:color="auto" w:fill="0B3D91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工程感</w:t>
              <w:br/>
            </w:r>
            <w:r>
              <w:rPr>
                <w:rFonts w:ascii="微软雅黑" w:hAnsi="微软雅黑" w:eastAsia="微软雅黑"/>
                <w:color w:val="FFFFFF"/>
                <w:sz w:val="16"/>
              </w:rPr>
              <w:t>真实案例·运行</w:t>
              <w:br/>
              <w:t>数据·实物装备</w:t>
            </w:r>
          </w:p>
        </w:tc>
        <w:tc>
          <w:tcPr>
            <w:tcW w:type="dxa" w:w="2353"/>
            <w:shd w:val="clear" w:color="auto" w:fill="00B0D0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仪式感</w:t>
              <w:br/>
            </w:r>
            <w:r>
              <w:rPr>
                <w:rFonts w:ascii="微软雅黑" w:hAnsi="微软雅黑" w:eastAsia="微软雅黑"/>
                <w:color w:val="FFFFFF"/>
                <w:sz w:val="16"/>
              </w:rPr>
              <w:t>启动环节·口号</w:t>
              <w:br/>
              <w:t>授牌·点亮仪式</w:t>
            </w:r>
          </w:p>
        </w:tc>
        <w:tc>
          <w:tcPr>
            <w:tcW w:type="dxa" w:w="2353"/>
            <w:shd w:val="clear" w:color="auto" w:fill="F09A0C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传播感</w:t>
              <w:br/>
            </w:r>
            <w:r>
              <w:rPr>
                <w:rFonts w:ascii="微软雅黑" w:hAnsi="微软雅黑" w:eastAsia="微软雅黑"/>
                <w:color w:val="FFFFFF"/>
                <w:sz w:val="16"/>
              </w:rPr>
              <w:t>金句·统一视觉</w:t>
              <w:br/>
              <w:t>媒体点位·短视频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B3D91"/>
          </w:tcPr>
          <w:p>
            <w:pPr>
              <w:spacing w:before="100" w:after="100"/>
              <w:ind w:left="198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三、两天完整议程</w:t>
            </w:r>
          </w:p>
        </w:tc>
      </w:tr>
    </w:tbl>
    <w:p>
      <w:pPr>
        <w:spacing w:before="0" w:after="40"/>
      </w:pPr>
    </w:p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B3D91"/>
          </w:tcPr>
          <w:p>
            <w:pPr>
              <w:spacing w:before="80" w:after="80"/>
              <w:ind w:left="198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第一天  4月25日（下午）  ——  产品体系首发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D91"/>
          </w:tcPr>
          <w:p>
            <w:pPr>
              <w:spacing w:before="80" w:after="80"/>
              <w:ind w:left="57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137"/>
            <w:shd w:val="clear" w:color="auto" w:fill="0B3D91"/>
          </w:tcPr>
          <w:p>
            <w:pPr>
              <w:spacing w:before="80" w:after="80"/>
              <w:ind w:left="57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137"/>
            <w:shd w:val="clear" w:color="auto" w:fill="0B3D91"/>
          </w:tcPr>
          <w:p>
            <w:pPr>
              <w:spacing w:before="80" w:after="80"/>
              <w:ind w:left="57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内容要点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13:20—14:00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暖场签到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背景屏轮播产品概念海报、案例成果、团队预热视频</w:t>
            </w:r>
          </w:p>
        </w:tc>
      </w:tr>
      <w:tr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14:00—14:03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倒计时+开场概念片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黑场→倒计时→3分钟概念片，迅速建立"水网认知智能"叙事空间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14:03—14:18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理论立势与发布宣言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从数字孪生到认知智能——为什么今天发布这套体系</w:t>
            </w:r>
          </w:p>
        </w:tc>
      </w:tr>
      <w:tr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14:18—14:28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六大产品矩阵首发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产品矩阵+一句话价值主张，逐一揭晓亮相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14:28—16:08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六大案例全链路演示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双容水箱→地下水/水文→大渡河梯级→中线→东线→胶东</w:t>
            </w:r>
          </w:p>
        </w:tc>
      </w:tr>
      <w:tr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16:08—16:18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应用见证与合作方发言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业主代表、技术合作方、潜在应用单位各1人，第三方背书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16:18—16:28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茶歇与线上互动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滚动展示提问二维码、首批报名高校</w:t>
            </w:r>
          </w:p>
        </w:tc>
      </w:tr>
      <w:tr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16:28—16:46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在环测试体系发布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SIL/HIL+硬件仿真机，证明"可验证、可工程化"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16:46—17:02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智能装备与设计工具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双容水箱实物+MBD工具完整工具链演示</w:t>
            </w:r>
          </w:p>
        </w:tc>
      </w:tr>
      <w:tr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17:02—17:28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知识/标准/人才培养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教材矩阵、知识平台、课程包、联合实验室计划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17:28—17:40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启动仪式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大屏点亮+授牌+社区上线+首批合作名单发布</w:t>
            </w:r>
          </w:p>
        </w:tc>
      </w:tr>
      <w:tr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17:40—17:50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总结与媒体采访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主持人收束，嘉宾移步采访区/交流区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0966C"/>
          </w:tcPr>
          <w:p>
            <w:pPr>
              <w:spacing w:before="80" w:after="80"/>
              <w:ind w:left="198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第二天  4月26日（上午）  ——  行业应用与合作生态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0966C"/>
          </w:tcPr>
          <w:p>
            <w:pPr>
              <w:spacing w:before="80" w:after="80"/>
              <w:ind w:left="57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137"/>
            <w:shd w:val="clear" w:color="auto" w:fill="00966C"/>
          </w:tcPr>
          <w:p>
            <w:pPr>
              <w:spacing w:before="80" w:after="80"/>
              <w:ind w:left="57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报告单位 / 环节</w:t>
            </w:r>
          </w:p>
        </w:tc>
        <w:tc>
          <w:tcPr>
            <w:tcW w:type="dxa" w:w="3137"/>
            <w:shd w:val="clear" w:color="auto" w:fill="00966C"/>
          </w:tcPr>
          <w:p>
            <w:pPr>
              <w:spacing w:before="80" w:after="80"/>
              <w:ind w:left="57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内容方向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08:30—08:45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开场主持 &amp; 回顾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简要回顾25日核心发布成果，引出26日合作深化主题</w:t>
            </w:r>
          </w:p>
        </w:tc>
      </w:tr>
      <w:tr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08:45—09:05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大渡河大数据有限公司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水电调度智能化实践：HydroClaw在梯级电站的应用效果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09:05—09:25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南水北调水网智科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中线/东线智慧调水运行经验与认知智能落地路径</w:t>
            </w:r>
          </w:p>
        </w:tc>
      </w:tr>
      <w:tr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09:25—09:45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胶东调水公司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胶东引调水工程智能运行探索与合作需求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09:45—10:00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茶歇 &amp; 自由交流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</w:r>
          </w:p>
        </w:tc>
      </w:tr>
      <w:tr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10:00—10:20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禹贡科技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水网仿真与数字孪生产品化进展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10:20—10:40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河北水发 / 山东水发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区域水网建设经验及智能化合作意向</w:t>
            </w:r>
          </w:p>
        </w:tc>
      </w:tr>
      <w:tr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10:40—11:00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南方阀门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智能控制装备在水网工程中的应用与接入方案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11:00—11:20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浙江水利水电学院</w:t>
              <w:br/>
              <w:t>珠江水利科学研究院</w:t>
              <w:br/>
              <w:t>太原理工大学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人才培养模式创新：课程共建、联合实验室、教材合作</w:t>
            </w:r>
          </w:p>
        </w:tc>
      </w:tr>
      <w:tr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11:20—11:40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合作洽谈 &amp; 签约环节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已对接合作方集中签约/授牌，首批共建名单正式发布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11:40—12:00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闭幕总结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主办方致辞收口，宣布下一步路演/论坛计划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B3D91"/>
          </w:tcPr>
          <w:p>
            <w:pPr>
              <w:spacing w:before="100" w:after="100"/>
              <w:ind w:left="198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四、五大发布亮点</w:t>
            </w:r>
          </w:p>
        </w:tc>
      </w:tr>
    </w:tbl>
    <w:p>
      <w:pPr>
        <w:spacing w:before="0" w:after="40"/>
      </w:pPr>
    </w:p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D91"/>
          </w:tcPr>
          <w:p>
            <w:pPr>
              <w:spacing w:before="140" w:after="140"/>
              <w:ind w:left="57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① 开场即「首发感」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140" w:after="140"/>
              <w:ind w:left="113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8"/>
              </w:rPr>
              <w:t>14:00整黑场+倒计时+3分钟概念片，真实场景切换产品界面，落在发布口号。</w:t>
            </w:r>
          </w:p>
        </w:tc>
      </w:tr>
      <w:tr>
        <w:tc>
          <w:tcPr>
            <w:tcW w:type="dxa" w:w="4706"/>
            <w:shd w:val="clear" w:color="auto" w:fill="1A6BD4"/>
          </w:tcPr>
          <w:p>
            <w:pPr>
              <w:spacing w:before="140" w:after="140"/>
              <w:ind w:left="57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② 六大产品「连续揭晓」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140" w:after="140"/>
              <w:ind w:left="113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8"/>
              </w:rPr>
              <w:t>每板块开始主持人统一句式揭晓，增强节奏感与记忆点。</w:t>
            </w:r>
          </w:p>
        </w:tc>
      </w:tr>
      <w:tr>
        <w:tc>
          <w:tcPr>
            <w:tcW w:type="dxa" w:w="4706"/>
            <w:shd w:val="clear" w:color="auto" w:fill="00966C"/>
          </w:tcPr>
          <w:p>
            <w:pPr>
              <w:spacing w:before="140" w:after="140"/>
              <w:ind w:left="57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③ 业主三方见证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140" w:after="140"/>
              <w:ind w:left="113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8"/>
              </w:rPr>
              <w:t>设8-10分钟"应用见证"微环节，业主/合作方/应用单位各1人背书。</w:t>
            </w:r>
          </w:p>
        </w:tc>
      </w:tr>
      <w:tr>
        <w:tc>
          <w:tcPr>
            <w:tcW w:type="dxa" w:w="4706"/>
            <w:shd w:val="clear" w:color="auto" w:fill="00B0D0"/>
          </w:tcPr>
          <w:p>
            <w:pPr>
              <w:spacing w:before="140" w:after="140"/>
              <w:ind w:left="57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④ 三端同屏实时演示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140" w:after="140"/>
              <w:ind w:left="113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8"/>
              </w:rPr>
              <w:t>HydroClaw桌面端+Web端+手机端同步切换，直观证明产品多角色可用。</w:t>
            </w:r>
          </w:p>
        </w:tc>
      </w:tr>
      <w:tr>
        <w:tc>
          <w:tcPr>
            <w:tcW w:type="dxa" w:w="4706"/>
            <w:shd w:val="clear" w:color="auto" w:fill="F09A0C"/>
          </w:tcPr>
          <w:p>
            <w:pPr>
              <w:spacing w:before="140" w:after="140"/>
              <w:ind w:left="57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⑤ 26日合作签约收口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140" w:after="140"/>
              <w:ind w:left="113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8"/>
              </w:rPr>
              <w:t>企业高校报告后直接进入签约/授牌仪式，将"发布"转化为"合作启动"。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B3D91"/>
          </w:tcPr>
          <w:p>
            <w:pPr>
              <w:spacing w:before="100" w:after="100"/>
              <w:ind w:left="198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五、风险控制与预期成果</w:t>
            </w:r>
          </w:p>
        </w:tc>
      </w:tr>
    </w:tbl>
    <w:p>
      <w:pPr>
        <w:spacing w:before="0" w:after="40"/>
      </w:pPr>
    </w:p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/>
        </w:tc>
        <w:tc>
          <w:tcPr>
            <w:tcW w:type="dxa" w:w="4706"/>
          </w:tcPr>
          <w:p/>
        </w:tc>
      </w:tr>
      <w:tr>
        <w:tc>
          <w:tcPr>
            <w:tcW w:type="dxa" w:w="4706"/>
          </w:tcPr>
          <w:p/>
        </w:tc>
        <w:tc>
          <w:tcPr>
            <w:tcW w:type="dxa" w:w="4706"/>
          </w:tcPr>
          <w:p/>
        </w:tc>
      </w:tr>
      <w:tr>
        <w:tc>
          <w:tcPr>
            <w:tcW w:type="dxa" w:w="4706"/>
          </w:tcPr>
          <w:p/>
        </w:tc>
        <w:tc>
          <w:tcPr>
            <w:tcW w:type="dxa" w:w="4706"/>
          </w:tcPr>
          <w:p/>
        </w:tc>
      </w:tr>
      <w:tr>
        <w:tc>
          <w:tcPr>
            <w:tcW w:type="dxa" w:w="4706"/>
          </w:tcPr>
          <w:p/>
        </w:tc>
        <w:tc>
          <w:tcPr>
            <w:tcW w:type="dxa" w:w="4706"/>
          </w:tcPr>
          <w:p/>
        </w:tc>
      </w:tr>
      <w:tr>
        <w:tc>
          <w:tcPr>
            <w:tcW w:type="dxa" w:w="4706"/>
          </w:tcPr>
          <w:p/>
        </w:tc>
        <w:tc>
          <w:tcPr>
            <w:tcW w:type="dxa" w:w="4706"/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A6BD4"/>
          </w:tcPr>
          <w:p>
            <w:pPr>
              <w:spacing w:before="80" w:after="80"/>
              <w:ind w:left="57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风险点</w:t>
            </w:r>
          </w:p>
        </w:tc>
        <w:tc>
          <w:tcPr>
            <w:tcW w:type="dxa" w:w="4706"/>
            <w:shd w:val="clear" w:color="auto" w:fill="1A6BD4"/>
          </w:tcPr>
          <w:p>
            <w:pPr>
              <w:spacing w:before="80" w:after="80"/>
              <w:ind w:left="57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应对措施</w:t>
            </w:r>
          </w:p>
        </w:tc>
      </w:tr>
      <w:tr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Demo演示失误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关键演示均备录屏；讲解稿可在静态PPT下独立完成</w:t>
            </w:r>
          </w:p>
        </w:tc>
      </w:tr>
      <w:tr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嘉宾临时缺席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每位发言人有备选；26日报告单位提前确认上台顺序</w:t>
            </w:r>
          </w:p>
        </w:tc>
      </w:tr>
      <w:tr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26日氛围松散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设茶歇互动、自由交流、签约仪式，保持参与感</w:t>
            </w:r>
          </w:p>
        </w:tc>
      </w:tr>
      <w:tr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网络/设备故障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双机位备份；现场备用电脑；提前全流程彩排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微软雅黑" w:hAnsi="微软雅黑" w:eastAsia="微软雅黑"/>
          <w:b/>
          <w:color w:val="1A6BD4"/>
          <w:sz w:val="22"/>
        </w:rPr>
        <w:t>预期成果</w:t>
      </w:r>
    </w:p>
    <w:p>
      <w:pPr>
        <w:spacing w:before="20" w:after="20"/>
        <w:ind w:left="283" w:hanging="227"/>
      </w:pPr>
      <w:r>
        <w:rPr>
          <w:rFonts w:ascii="微软雅黑" w:hAnsi="微软雅黑" w:eastAsia="微软雅黑"/>
          <w:color w:val="00B0D0"/>
          <w:sz w:val="16"/>
        </w:rPr>
        <w:t xml:space="preserve">◆  </w:t>
      </w:r>
      <w:r>
        <w:rPr>
          <w:rFonts w:ascii="微软雅黑" w:hAnsi="微软雅黑" w:eastAsia="微软雅黑"/>
          <w:color w:val="1A1A2E"/>
          <w:sz w:val="20"/>
        </w:rPr>
        <w:t>形成一场具有明显产品发布属性的品牌活动，而非普通学术分会场</w:t>
      </w:r>
    </w:p>
    <w:p>
      <w:pPr>
        <w:spacing w:before="20" w:after="20"/>
        <w:ind w:left="283" w:hanging="227"/>
      </w:pPr>
      <w:r>
        <w:rPr>
          <w:rFonts w:ascii="微软雅黑" w:hAnsi="微软雅黑" w:eastAsia="微软雅黑"/>
          <w:color w:val="00B0D0"/>
          <w:sz w:val="16"/>
        </w:rPr>
        <w:t xml:space="preserve">◆  </w:t>
      </w:r>
      <w:r>
        <w:rPr>
          <w:rFonts w:ascii="微软雅黑" w:hAnsi="微软雅黑" w:eastAsia="微软雅黑"/>
          <w:color w:val="1A1A2E"/>
          <w:sz w:val="20"/>
        </w:rPr>
        <w:t>六大产品、两大典型案例与 HydroClaw 品牌在目标受众中建立清晰记忆</w:t>
      </w:r>
    </w:p>
    <w:p>
      <w:pPr>
        <w:spacing w:before="20" w:after="20"/>
        <w:ind w:left="283" w:hanging="227"/>
      </w:pPr>
      <w:r>
        <w:rPr>
          <w:rFonts w:ascii="微软雅黑" w:hAnsi="微软雅黑" w:eastAsia="微软雅黑"/>
          <w:color w:val="00B0D0"/>
          <w:sz w:val="16"/>
        </w:rPr>
        <w:t xml:space="preserve">◆  </w:t>
      </w:r>
      <w:r>
        <w:rPr>
          <w:rFonts w:ascii="微软雅黑" w:hAnsi="微软雅黑" w:eastAsia="微软雅黑"/>
          <w:color w:val="1A1A2E"/>
          <w:sz w:val="20"/>
        </w:rPr>
        <w:t>大渡河、南水北调、胶东等头部用户完成应用见证，形成行业背书</w:t>
      </w:r>
    </w:p>
    <w:p>
      <w:pPr>
        <w:spacing w:before="20" w:after="20"/>
        <w:ind w:left="283" w:hanging="227"/>
      </w:pPr>
      <w:r>
        <w:rPr>
          <w:rFonts w:ascii="微软雅黑" w:hAnsi="微软雅黑" w:eastAsia="微软雅黑"/>
          <w:color w:val="00B0D0"/>
          <w:sz w:val="16"/>
        </w:rPr>
        <w:t xml:space="preserve">◆  </w:t>
      </w:r>
      <w:r>
        <w:rPr>
          <w:rFonts w:ascii="微软雅黑" w:hAnsi="微软雅黑" w:eastAsia="微软雅黑"/>
          <w:color w:val="1A1A2E"/>
          <w:sz w:val="20"/>
        </w:rPr>
        <w:t>高校（浙水院、珠科院、太原理工等）正式启动课程共建与人才培养合作</w:t>
      </w:r>
    </w:p>
    <w:p>
      <w:pPr>
        <w:spacing w:before="20" w:after="20"/>
        <w:ind w:left="283" w:hanging="227"/>
      </w:pPr>
      <w:r>
        <w:rPr>
          <w:rFonts w:ascii="微软雅黑" w:hAnsi="微软雅黑" w:eastAsia="微软雅黑"/>
          <w:color w:val="00B0D0"/>
          <w:sz w:val="16"/>
        </w:rPr>
        <w:t xml:space="preserve">◆  </w:t>
      </w:r>
      <w:r>
        <w:rPr>
          <w:rFonts w:ascii="微软雅黑" w:hAnsi="微软雅黑" w:eastAsia="微软雅黑"/>
          <w:color w:val="1A1A2E"/>
          <w:sz w:val="20"/>
        </w:rPr>
        <w:t>沉淀可复制的"水网认知智能产品发布"模板，为后续全国路演提供样板</w:t>
      </w:r>
    </w:p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B3D91"/>
          </w:tcPr>
          <w:p>
            <w:pPr>
              <w:spacing w:before="100" w:after="100"/>
              <w:ind w:left="198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六、执行分工与时间推进</w:t>
            </w:r>
          </w:p>
        </w:tc>
      </w:tr>
    </w:tbl>
    <w:p>
      <w:pPr>
        <w:spacing w:before="0" w:after="40"/>
      </w:pPr>
    </w:p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/>
        </w:tc>
        <w:tc>
          <w:tcPr>
            <w:tcW w:type="dxa" w:w="4706"/>
          </w:tcPr>
          <w:p/>
        </w:tc>
      </w:tr>
      <w:tr>
        <w:tc>
          <w:tcPr>
            <w:tcW w:type="dxa" w:w="4706"/>
          </w:tcPr>
          <w:p/>
        </w:tc>
        <w:tc>
          <w:tcPr>
            <w:tcW w:type="dxa" w:w="4706"/>
          </w:tcPr>
          <w:p/>
        </w:tc>
      </w:tr>
      <w:tr>
        <w:tc>
          <w:tcPr>
            <w:tcW w:type="dxa" w:w="4706"/>
          </w:tcPr>
          <w:p/>
        </w:tc>
        <w:tc>
          <w:tcPr>
            <w:tcW w:type="dxa" w:w="4706"/>
          </w:tcPr>
          <w:p/>
        </w:tc>
      </w:tr>
      <w:tr>
        <w:tc>
          <w:tcPr>
            <w:tcW w:type="dxa" w:w="4706"/>
          </w:tcPr>
          <w:p/>
        </w:tc>
        <w:tc>
          <w:tcPr>
            <w:tcW w:type="dxa" w:w="4706"/>
          </w:tcPr>
          <w:p/>
        </w:tc>
      </w:tr>
      <w:tr>
        <w:tc>
          <w:tcPr>
            <w:tcW w:type="dxa" w:w="4706"/>
          </w:tcPr>
          <w:p/>
        </w:tc>
        <w:tc>
          <w:tcPr>
            <w:tcW w:type="dxa" w:w="4706"/>
          </w:tcPr>
          <w:p/>
        </w:tc>
      </w:tr>
      <w:tr>
        <w:tc>
          <w:tcPr>
            <w:tcW w:type="dxa" w:w="4706"/>
          </w:tcPr>
          <w:p/>
        </w:tc>
        <w:tc>
          <w:tcPr>
            <w:tcW w:type="dxa" w:w="4706"/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D91"/>
          </w:tcPr>
          <w:p>
            <w:pPr>
              <w:spacing w:before="80" w:after="80"/>
              <w:ind w:left="57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工作组</w:t>
            </w:r>
          </w:p>
        </w:tc>
        <w:tc>
          <w:tcPr>
            <w:tcW w:type="dxa" w:w="4706"/>
            <w:shd w:val="clear" w:color="auto" w:fill="0B3D91"/>
          </w:tcPr>
          <w:p>
            <w:pPr>
              <w:spacing w:before="80" w:after="80"/>
              <w:ind w:left="57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总控组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全流程统筹、两天议程卡点、嘉宾衔接、突发决策</w:t>
            </w:r>
          </w:p>
        </w:tc>
      </w:tr>
      <w:tr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内容组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PPT统稿、主持词、演讲脚本、26日报告口径协调</w:t>
            </w:r>
          </w:p>
        </w:tc>
      </w:tr>
      <w:tr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技术/演示组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Demo环境、录屏备份、跨端联动、设备调试</w:t>
            </w:r>
          </w:p>
        </w:tc>
      </w:tr>
      <w:tr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视觉物料组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主视觉KV、签名墙、授牌证书、签约背景板</w:t>
            </w:r>
          </w:p>
        </w:tc>
      </w:tr>
      <w:tr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传播组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预热内容、会中直播、新闻通稿、短视频剪辑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/>
        </w:tc>
        <w:tc>
          <w:tcPr>
            <w:tcW w:type="dxa" w:w="4706"/>
          </w:tcPr>
          <w:p/>
        </w:tc>
      </w:tr>
      <w:tr>
        <w:tc>
          <w:tcPr>
            <w:tcW w:type="dxa" w:w="4706"/>
          </w:tcPr>
          <w:p/>
        </w:tc>
        <w:tc>
          <w:tcPr>
            <w:tcW w:type="dxa" w:w="4706"/>
          </w:tcPr>
          <w:p/>
        </w:tc>
      </w:tr>
      <w:tr>
        <w:tc>
          <w:tcPr>
            <w:tcW w:type="dxa" w:w="4706"/>
          </w:tcPr>
          <w:p/>
        </w:tc>
        <w:tc>
          <w:tcPr>
            <w:tcW w:type="dxa" w:w="4706"/>
          </w:tcPr>
          <w:p/>
        </w:tc>
      </w:tr>
      <w:tr>
        <w:tc>
          <w:tcPr>
            <w:tcW w:type="dxa" w:w="4706"/>
          </w:tcPr>
          <w:p/>
        </w:tc>
        <w:tc>
          <w:tcPr>
            <w:tcW w:type="dxa" w:w="4706"/>
          </w:tcPr>
          <w:p/>
        </w:tc>
      </w:tr>
      <w:tr>
        <w:tc>
          <w:tcPr>
            <w:tcW w:type="dxa" w:w="4706"/>
          </w:tcPr>
          <w:p/>
        </w:tc>
        <w:tc>
          <w:tcPr>
            <w:tcW w:type="dxa" w:w="4706"/>
          </w:tcPr>
          <w:p/>
        </w:tc>
      </w:tr>
      <w:tr>
        <w:tc>
          <w:tcPr>
            <w:tcW w:type="dxa" w:w="4706"/>
          </w:tcPr>
          <w:p/>
        </w:tc>
        <w:tc>
          <w:tcPr>
            <w:tcW w:type="dxa" w:w="4706"/>
          </w:tcPr>
          <w:p/>
        </w:tc>
      </w:tr>
      <w:tr>
        <w:tc>
          <w:tcPr>
            <w:tcW w:type="dxa" w:w="4706"/>
          </w:tcPr>
          <w:p/>
        </w:tc>
        <w:tc>
          <w:tcPr>
            <w:tcW w:type="dxa" w:w="4706"/>
          </w:tcPr>
          <w:p/>
        </w:tc>
      </w:tr>
      <w:tr>
        <w:tc>
          <w:tcPr>
            <w:tcW w:type="dxa" w:w="4706"/>
          </w:tcPr>
          <w:p/>
        </w:tc>
        <w:tc>
          <w:tcPr>
            <w:tcW w:type="dxa" w:w="4706"/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D91"/>
          </w:tcPr>
          <w:p>
            <w:pPr>
              <w:spacing w:before="80" w:after="80"/>
              <w:ind w:left="57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时间节点</w:t>
            </w:r>
          </w:p>
        </w:tc>
        <w:tc>
          <w:tcPr>
            <w:tcW w:type="dxa" w:w="4706"/>
            <w:shd w:val="clear" w:color="auto" w:fill="0B3D91"/>
          </w:tcPr>
          <w:p>
            <w:pPr>
              <w:spacing w:before="80" w:after="80"/>
              <w:ind w:left="57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主要任务</w:t>
            </w:r>
          </w:p>
        </w:tc>
      </w:tr>
      <w:tr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T-25天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确定总方案、主视觉、两天议程终稿、嘉宾邀请口径</w:t>
            </w:r>
          </w:p>
        </w:tc>
      </w:tr>
      <w:tr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T-20天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发邀请函，确认26日各报告单位发言人及议题</w:t>
            </w:r>
          </w:p>
        </w:tc>
      </w:tr>
      <w:tr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T-15天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完成PPT初稿、主视觉KV；开始发言培训</w:t>
            </w:r>
          </w:p>
        </w:tc>
      </w:tr>
      <w:tr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T-10天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发布主视觉海报+议程海报；第一次全流程彩排</w:t>
            </w:r>
          </w:p>
        </w:tc>
      </w:tr>
      <w:tr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T-5天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连续推送预热内容；确认签约/授牌单位名单</w:t>
            </w:r>
          </w:p>
        </w:tc>
      </w:tr>
      <w:tr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T-1天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发30秒倒计时短视频；两天全流程彩排</w:t>
            </w:r>
          </w:p>
        </w:tc>
      </w:tr>
      <w:tr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 w:val="0"/>
                <w:color w:val="1A1A2E"/>
                <w:sz w:val="17"/>
              </w:rPr>
              <w:t>会后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60" w:after="60"/>
              <w:ind w:left="57"/>
              <w:jc w:val="left"/>
            </w:pPr>
            <w:r>
              <w:rPr>
                <w:rFonts w:ascii="微软雅黑" w:hAnsi="微软雅黑" w:eastAsia="微软雅黑"/>
                <w:b/>
                <w:color w:val="0B3D91"/>
                <w:sz w:val="17"/>
              </w:rPr>
              <w:t>24h内推新闻通稿+高光视频；3天内推长图+合作报名入口</w:t>
            </w:r>
          </w:p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B3D91"/>
          </w:tcPr>
          <w:p>
            <w:pPr>
              <w:spacing w:before="100" w:after="100"/>
              <w:jc w:val="center"/>
            </w:pPr>
            <w:r>
              <w:rPr>
                <w:rFonts w:ascii="微软雅黑" w:hAnsi="微软雅黑" w:eastAsia="微软雅黑"/>
                <w:color w:val="D6E8FF"/>
                <w:sz w:val="18"/>
              </w:rPr>
              <w:t>本文档为领导汇报精简版（两天完整方案）· 执行细节见原版实施方案</w:t>
            </w:r>
          </w:p>
        </w:tc>
      </w:tr>
    </w:tbl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