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36"/>
        </w:rPr>
        <w:t>水网认知智能产品发布会</w:t>
      </w:r>
    </w:p>
    <w:p>
      <w:r>
        <w:t>实施方案（完整版）</w:t>
      </w:r>
    </w:p>
    <w:p>
      <w:r>
        <w:t>依托“节水AI智能体与人才培养专题分会场”初步方案深化设计</w:t>
      </w:r>
    </w:p>
    <w:p>
      <w:r>
        <w:t>定位：既能发布产品、又能制造传播、还能带动合作转化的发布型会议</w:t>
      </w:r>
    </w:p>
    <w:p>
      <w:r>
        <w:t>建议主题：从数字孪生到认知智能——水网自主运行新范式</w:t>
      </w:r>
    </w:p>
    <w:p/>
    <w:p>
      <w:r>
        <w:t>版本说明：</w:t>
      </w:r>
    </w:p>
    <w:p>
      <w:pPr>
        <w:pStyle w:val="ListNumber"/>
      </w:pPr>
      <w:r>
        <w:t>本版为可直接对外汇报、统筹执行和会务落地使用的完整版。</w:t>
      </w:r>
    </w:p>
    <w:p>
      <w:pPr>
        <w:pStyle w:val="ListNumber"/>
      </w:pPr>
      <w:r>
        <w:t>在原“建议稿”基础上，已补充 26 日上午企业与高校应用报告专场。</w:t>
      </w:r>
    </w:p>
    <w:p>
      <w:pPr>
        <w:pStyle w:val="ListNumber"/>
      </w:pPr>
      <w:r>
        <w:t>26 日上午专场重点面向企业、高校、科研院所与合作生态单位，突出“应用牵引、生态共建、人才培养、合作转化”。</w:t>
      </w:r>
    </w:p>
    <w:p/>
    <w:p>
      <w:r>
        <w:t>建议时间安排：</w:t>
      </w:r>
    </w:p>
    <w:p>
      <w:pPr>
        <w:pStyle w:val="ListBullet"/>
      </w:pPr>
      <w:r>
        <w:t>4 月 25 日下午：产品发布主场</w:t>
      </w:r>
    </w:p>
    <w:p>
      <w:pPr>
        <w:pStyle w:val="ListBullet"/>
      </w:pPr>
      <w:r>
        <w:t>4 月 26 日上午：企业与高校应用报告专场</w:t>
      </w:r>
    </w:p>
    <w:p/>
    <w:p>
      <w:r>
        <w:t>26 日上午专场重点邀请单位：</w:t>
      </w:r>
    </w:p>
    <w:p>
      <w:pPr>
        <w:pStyle w:val="ListBullet"/>
      </w:pPr>
      <w:r>
        <w:t>企业与平台类：大渡河大数据有限公司、南水北调水网智科、胶东调水公司、禹贡科技、河北水发、山东水发、南方阀门</w:t>
      </w:r>
    </w:p>
    <w:p>
      <w:pPr>
        <w:pStyle w:val="ListBullet"/>
      </w:pPr>
      <w:r>
        <w:t>高校与科研院所类：浙江水利水电学院、珠江水利科学研究院、太原理工大学</w:t>
      </w:r>
    </w:p>
    <w:p/>
    <w:p>
      <w:r>
        <w:t>26 日上午专场目标：</w:t>
      </w:r>
    </w:p>
    <w:p>
      <w:pPr>
        <w:pStyle w:val="ListBullet"/>
      </w:pPr>
      <w:r>
        <w:t>形成产品发布后的应用承接场，回答“谁来用、在哪用、怎么合作”</w:t>
      </w:r>
    </w:p>
    <w:p>
      <w:pPr>
        <w:pStyle w:val="ListBullet"/>
      </w:pPr>
      <w:r>
        <w:t>形成面向企业的试点合作线索和面向高校的课程共建线索</w:t>
      </w:r>
    </w:p>
    <w:p>
      <w:pPr>
        <w:pStyle w:val="ListBullet"/>
      </w:pPr>
      <w:r>
        <w:t>形成“首批共建单位”亮相与共同体启动的仪式化闭环</w:t>
      </w:r>
    </w:p>
    <w:p>
      <w:pPr>
        <w:pStyle w:val="ListBullet"/>
      </w:pPr>
      <w:r>
        <w:t>为会后签约、试用、联合实验室与课程共建提供明确推进清单</w:t>
      </w:r>
    </w:p>
    <w:p/>
    <w:p/>
    <w:p/>
    <w:p/>
    <w:p/>
    <w:p/>
    <w:p/>
    <w:p/>
    <w:p/>
    <w:p>
      <w:r>
        <w:t>一、方案总述</w:t>
      </w:r>
    </w:p>
    <w:p>
      <w:r>
        <w:t>本方案在用户提供的《节水AI智能体与人才培养专题分会场—会议方案》基础上，按照“产品发布会”逻辑进行二次设计，不再把重点放在常规学术报告的平铺式呈现，而是围绕“首发、首秀、首批合作、首轮传播”四个关键词，打造一场更有故事线、更有仪式感、更容易形成现场记忆点和媒体传播点的产品发布活动。</w:t>
      </w:r>
    </w:p>
    <w:p>
      <w:r>
        <w:t>整体策略是：保留原方案中“理论—产品—案例—标准—人才培养”的核心内容骨架，同时对舞台表达、议程节奏、互动机制、嘉宾参与、媒体传播、现场物料和会后转化进行升级，使会议从‘能开成’升级为‘能出圈、能转化、能沉淀’。</w:t>
      </w:r>
    </w:p>
    <w:p>
      <w:r>
        <w:t>二、发布会整体创意设计</w:t>
      </w:r>
    </w:p>
    <w:p>
      <w:r>
        <w:t>（一）总主题与叙事主线</w:t>
      </w:r>
    </w:p>
    <w:p>
      <w:pPr>
        <w:pStyle w:val="ListBullet"/>
      </w:pPr>
      <w:r>
        <w:t>总主题建议：从数字孪生到认知智能——水网自主运行新范式</w:t>
      </w:r>
    </w:p>
    <w:p>
      <w:pPr>
        <w:pStyle w:val="ListBullet"/>
      </w:pPr>
      <w:r>
        <w:t>发布会主口号：让每一条河流都有自己的AI大脑</w:t>
      </w:r>
    </w:p>
    <w:p>
      <w:pPr>
        <w:pStyle w:val="ListBullet"/>
      </w:pPr>
      <w:r>
        <w:t>叙事主线建议：看懂水 → 管好水 → 用好AI → 验证可信 → 落地应用 → 培养人才</w:t>
      </w:r>
    </w:p>
    <w:p>
      <w:pPr>
        <w:pStyle w:val="ListBullet"/>
      </w:pPr>
      <w:r>
        <w:t>观众感知目标：不是‘又开了一场会’，而是‘这个团队正式拿出了一套可落地的产品体系’。</w:t>
      </w:r>
    </w:p>
    <w:p>
      <w:r>
        <w:t>（二）包装为“三幕式”发布结构</w:t>
      </w:r>
    </w:p>
    <w:p>
      <w:r>
        <w:t>第一幕是“开场立势”，用3分钟概念片、舞台灯光和主持人口播迅速建立宏大叙事，让观众理解这是一次产品体系发布，而不是单纯学术汇报。第二幕是“核心发布”，通过产品总览、案例连演、现场演示和见证嘉宾点评，完成‘技术可信 + 工程可用 + 角色可感知’的转化。第三幕是“生态启动”，以倡议发布、首批合作单位亮相、社区上线和合作邀约完成收口。</w:t>
      </w:r>
    </w:p>
    <w:p>
      <w:r>
        <w:t>（三）现场气质关键词</w:t>
      </w:r>
    </w:p>
    <w:p>
      <w:pPr>
        <w:pStyle w:val="ListBullet"/>
      </w:pPr>
      <w:r>
        <w:t>科技感：大屏主视觉、动态倒计时、产品矩阵动画、三端联动演示。</w:t>
      </w:r>
    </w:p>
    <w:p>
      <w:pPr>
        <w:pStyle w:val="ListBullet"/>
      </w:pPr>
      <w:r>
        <w:t>工程感：真实案例、真实场景、真实运行数据、真实装备展示。</w:t>
      </w:r>
    </w:p>
    <w:p>
      <w:pPr>
        <w:pStyle w:val="ListBullet"/>
      </w:pPr>
      <w:r>
        <w:t>仪式感：启动环节、发布口号、首批共建单位亮相、授牌或点亮仪式。</w:t>
      </w:r>
    </w:p>
    <w:p>
      <w:pPr>
        <w:pStyle w:val="ListBullet"/>
      </w:pPr>
      <w:r>
        <w:t>传播感：固定金句、统一视觉口径、媒体拍摄点位、会后短视频切片。</w:t>
      </w:r>
    </w:p>
    <w:p>
      <w:r>
        <w:t>三、总体实施架构</w:t>
      </w:r>
    </w:p>
    <w:p>
      <w:r>
        <w:t>四、发布会亮点设计</w:t>
      </w:r>
    </w:p>
    <w:p>
      <w:pPr>
        <w:pStyle w:val="ListNumber"/>
      </w:pPr>
      <w:r>
        <w:t>开场即“首发感”</w:t>
      </w:r>
    </w:p>
    <w:p>
      <w:r>
        <w:t>建议在14:00整以黑场+倒计时+概念片开启。大屏先显示“2026水网认知智能产品发布会”及5秒倒计时，随后切入3分钟概念片，视频内容从南水北调、大渡河、调水工程等真实场景切换到产品界面、控制系统、智能体对话界面，最后落在口号“让每一条河流都有自己的AI大脑”。</w:t>
      </w:r>
    </w:p>
    <w:p>
      <w:pPr>
        <w:pStyle w:val="ListNumber"/>
      </w:pPr>
      <w:r>
        <w:t>把‘发布’做成‘连续揭晓’</w:t>
      </w:r>
    </w:p>
    <w:p>
      <w:r>
        <w:t>六大产品不要只停留在一页总览，而应在每个板块开始时由主持人用一句统一句式进行揭晓，例如“现在发布的是：让系统看懂水的世界模型”“现在登场的是：让工程真正跑起来的分布式控制器”。这样能增强节奏感与记忆点。</w:t>
      </w:r>
    </w:p>
    <w:p>
      <w:pPr>
        <w:pStyle w:val="ListNumber"/>
      </w:pPr>
      <w:r>
        <w:t>设置“业主/合作方/应用单位见证环节”</w:t>
      </w:r>
    </w:p>
    <w:p>
      <w:r>
        <w:t>原方案中技术内容强、应用背书还不够强。建议在板块一后增加8-10分钟“应用见证”微环节，邀请已服务过的业主代表、合作方、典型应用单位各1人，每人2-3分钟，从‘为什么采用、效果如何、后续期待’三个问题发言，形成第三方证明。</w:t>
      </w:r>
    </w:p>
    <w:p>
      <w:pPr>
        <w:pStyle w:val="ListNumber"/>
      </w:pPr>
      <w:r>
        <w:t>三端同屏演示形成吸睛画面</w:t>
      </w:r>
    </w:p>
    <w:p>
      <w:r>
        <w:t>HydroClaw建议采用‘桌面端+Web端+手机端’同步切换的方式，尽量让观众看到同一任务如何跨端协同完成，从而直观建立‘这不是实验室Demo，而是可被不同角色使用的产品’。</w:t>
      </w:r>
    </w:p>
    <w:p>
      <w:pPr>
        <w:pStyle w:val="ListNumber"/>
      </w:pPr>
      <w:r>
        <w:t>设置“首批共建生态发布”</w:t>
      </w:r>
    </w:p>
    <w:p>
      <w:r>
        <w:t>闭幕阶段建议不只说欢迎合作，而是直接发布“首批共建高校/合作单位/测试基地/开发者社区”名单。如果实际数量尚未完全落实，也可先形成‘倡议单位名单+意向合作名单’，提升发布分量。</w:t>
      </w:r>
    </w:p>
    <w:p>
      <w:r>
        <w:t>五、优化后的现场议程（发布会版）</w:t>
      </w:r>
    </w:p>
    <w:p>
      <w:r>
        <w:t>六、舞台与视觉实施方案</w:t>
      </w:r>
    </w:p>
    <w:p>
      <w:r>
        <w:t>（一）主舞台建议</w:t>
      </w:r>
    </w:p>
    <w:p>
      <w:pPr>
        <w:pStyle w:val="ListBullet"/>
      </w:pPr>
      <w:r>
        <w:t>主屏建议采用一块主LED大屏，统一承载主视觉、PPT、演示画面和仪式启动内容。</w:t>
      </w:r>
    </w:p>
    <w:p>
      <w:pPr>
        <w:pStyle w:val="ListBullet"/>
      </w:pPr>
      <w:r>
        <w:t>讲台与演示席分离：主讲人在台中央/讲台区表达，演示人员在侧台或前排操作席联动，避免主讲人与电脑操作抢画面。</w:t>
      </w:r>
    </w:p>
    <w:p>
      <w:pPr>
        <w:pStyle w:val="ListBullet"/>
      </w:pPr>
      <w:r>
        <w:t>设置一处实物展示位：双容水箱、硬件仿真机或模型装备优先摆在能被摄影机捕捉到的位置。</w:t>
      </w:r>
    </w:p>
    <w:p>
      <w:r>
        <w:t>（二）视觉系统建议</w:t>
      </w:r>
    </w:p>
    <w:p>
      <w:r>
        <w:t>七、观众体验与互动设计</w:t>
      </w:r>
    </w:p>
    <w:p>
      <w:r>
        <w:t>发布会需要从‘听讲’升级为‘参与’，建议重点设置签到互动、会中提问、会后体验三条线。</w:t>
      </w:r>
    </w:p>
    <w:p>
      <w:pPr>
        <w:pStyle w:val="ListBullet"/>
      </w:pPr>
      <w:r>
        <w:t>签到互动：设置签名墙或电子签到屏，背景文案可用“今天，一起见证水网AI大脑发布”。</w:t>
      </w:r>
    </w:p>
    <w:p>
      <w:pPr>
        <w:pStyle w:val="ListBullet"/>
      </w:pPr>
      <w:r>
        <w:t>会中互动：茶歇前后安排扫码提问与投票，问题类型建议围绕“最想试用的功能”“最期待合作的方向”。</w:t>
      </w:r>
    </w:p>
    <w:p>
      <w:pPr>
        <w:pStyle w:val="ListBullet"/>
      </w:pPr>
      <w:r>
        <w:t>会后体验：在会场外或侧厅设置体验区，安排1-2台电脑/平板供嘉宾试用HydroClaw及知识平台。</w:t>
      </w:r>
    </w:p>
    <w:p>
      <w:pPr>
        <w:pStyle w:val="ListBullet"/>
      </w:pPr>
      <w:r>
        <w:t>传播互动：鼓励现场拍照打卡，设计统一话题词，例如“#让每一条河流都有自己的AI大脑”。</w:t>
      </w:r>
    </w:p>
    <w:p>
      <w:r>
        <w:t>八、嘉宾与发言组织优化</w:t>
      </w:r>
    </w:p>
    <w:p>
      <w:r>
        <w:t>为增强发布会说服力，嘉宾结构建议形成“理论提出者—产品负责人—案例负责人—应用见证人—合作共建方”五层结构。</w:t>
      </w:r>
    </w:p>
    <w:p>
      <w:pPr>
        <w:pStyle w:val="ListBullet"/>
      </w:pPr>
      <w:r>
        <w:t>总负责人负责立势与收口，强调愿景、体系与行业意义。</w:t>
      </w:r>
    </w:p>
    <w:p>
      <w:pPr>
        <w:pStyle w:val="ListBullet"/>
      </w:pPr>
      <w:r>
        <w:t>产品负责人负责把复杂技术说成清晰价值，避免陷入纯技术汇报。</w:t>
      </w:r>
    </w:p>
    <w:p>
      <w:pPr>
        <w:pStyle w:val="ListBullet"/>
      </w:pPr>
      <w:r>
        <w:t>案例负责人负责证明产品已能在真实复杂场景中工作。</w:t>
      </w:r>
    </w:p>
    <w:p>
      <w:pPr>
        <w:pStyle w:val="ListBullet"/>
      </w:pPr>
      <w:r>
        <w:t>应用见证人负责第三方背书，提升可信度与商业转化可能。</w:t>
      </w:r>
    </w:p>
    <w:p>
      <w:pPr>
        <w:pStyle w:val="ListBullet"/>
      </w:pPr>
      <w:r>
        <w:t>合作共建方负责把本次发布会从‘展示’升级为‘合作启动会’。</w:t>
      </w:r>
    </w:p>
    <w:p>
      <w:r>
        <w:t>九、传播方案与媒体内容设计</w:t>
      </w:r>
    </w:p>
    <w:p>
      <w:r>
        <w:t>十、执行分工建议</w:t>
      </w:r>
    </w:p>
    <w:p>
      <w:r>
        <w:t>十一、关键物料清单</w:t>
      </w:r>
    </w:p>
    <w:p>
      <w:pPr>
        <w:pStyle w:val="ListBullet"/>
      </w:pPr>
      <w:r>
        <w:t>主视觉背景板/LED主KV</w:t>
      </w:r>
    </w:p>
    <w:p>
      <w:pPr>
        <w:pStyle w:val="ListBullet"/>
      </w:pPr>
      <w:r>
        <w:t>倒计时视频与3分钟概念片</w:t>
      </w:r>
    </w:p>
    <w:p>
      <w:pPr>
        <w:pStyle w:val="ListBullet"/>
      </w:pPr>
      <w:r>
        <w:t>主持词、嘉宾手卡、倒计时提示牌</w:t>
      </w:r>
    </w:p>
    <w:p>
      <w:pPr>
        <w:pStyle w:val="ListBullet"/>
      </w:pPr>
      <w:r>
        <w:t>会场导视牌、签到背景板、嘉宾席位卡</w:t>
      </w:r>
    </w:p>
    <w:p>
      <w:pPr>
        <w:pStyle w:val="ListBullet"/>
      </w:pPr>
      <w:r>
        <w:t>产品矩阵海报、案例成果海报、二维码立牌</w:t>
      </w:r>
    </w:p>
    <w:p>
      <w:pPr>
        <w:pStyle w:val="ListBullet"/>
      </w:pPr>
      <w:r>
        <w:t>演示电脑、备用电脑、翻页笔、提词器（如有）</w:t>
      </w:r>
    </w:p>
    <w:p>
      <w:pPr>
        <w:pStyle w:val="ListBullet"/>
      </w:pPr>
      <w:r>
        <w:t>双机位直播设备、导播切换台、拾音设备</w:t>
      </w:r>
    </w:p>
    <w:p>
      <w:pPr>
        <w:pStyle w:val="ListBullet"/>
      </w:pPr>
      <w:r>
        <w:t>启动仪式素材包（点亮动画/授牌证书/合作倡议书）</w:t>
      </w:r>
    </w:p>
    <w:p>
      <w:pPr>
        <w:pStyle w:val="ListBullet"/>
      </w:pPr>
      <w:r>
        <w:t>媒体采访背景板与采访提纲</w:t>
      </w:r>
    </w:p>
    <w:p>
      <w:r>
        <w:t>十二、时间推进表</w:t>
      </w:r>
    </w:p>
    <w:p>
      <w:r>
        <w:t>十三、风险控制与应急预案</w:t>
      </w:r>
    </w:p>
    <w:p>
      <w:r>
        <w:t>十四、预期成果</w:t>
      </w:r>
    </w:p>
    <w:p>
      <w:pPr>
        <w:pStyle w:val="ListBullet"/>
      </w:pPr>
      <w:r>
        <w:t>形成一场具有明显产品发布属性、而非普通学术分会场属性的品牌活动。</w:t>
      </w:r>
    </w:p>
    <w:p>
      <w:pPr>
        <w:pStyle w:val="ListBullet"/>
      </w:pPr>
      <w:r>
        <w:t>让六大产品、两大典型案例和HydroClaw品牌在目标受众中建立清晰记忆。</w:t>
      </w:r>
    </w:p>
    <w:p>
      <w:pPr>
        <w:pStyle w:val="ListBullet"/>
      </w:pPr>
      <w:r>
        <w:t>促成高校、业主、合作企业对课程共建、试点测试、平台接入等合作意向。</w:t>
      </w:r>
    </w:p>
    <w:p>
      <w:pPr>
        <w:pStyle w:val="ListBullet"/>
      </w:pPr>
      <w:r>
        <w:t>沉淀一套可复制的“水网认知智能产品发布”模板，为后续全国路演或专题论坛提供样板。</w:t>
      </w:r>
    </w:p>
    <w:p>
      <w:r>
        <w:t>附：对原始初步方案的重点增强建议</w:t>
      </w:r>
    </w:p>
    <w:p>
      <w:r>
        <w:t>一是增加’应用见证/业主发言’环节，补齐发布会最关键的第三方证明；二是把开场、启动、收尾都做成可传播的标准动作，避免只是内容堆叠；三是把会后行动从’回放上线’升级为’线索转化’，让发布会成为合作入口；四是对视觉与物料统一设计，让所有人从第一眼就感受到这是一次正式发布。</w:t>
      </w:r>
    </w:p>
    <w:p/>
    <w:p>
      <w:r/>
    </w:p>
    <w:p/>
    <w:p>
      <w:r>
        <w:t># 补充专章：4月26日上午——企业与高校专场</w:t>
      </w:r>
    </w:p>
    <w:p/>
    <w:p>
      <w:r>
        <w:rPr>
          <w:rFonts w:ascii="SimHei" w:hAnsi="SimHei" w:eastAsia="SimHei"/>
          <w:b/>
          <w:sz w:val="32"/>
        </w:rPr>
        <w:t>一、专场定位</w:t>
      </w:r>
    </w:p>
    <w:p/>
    <w:p>
      <w:pPr>
        <w:pStyle w:val="ListBullet"/>
      </w:pPr>
      <w:r>
        <w:t>时间：2026年4月26日 9:00—12:00</w:t>
      </w:r>
    </w:p>
    <w:p>
      <w:pPr>
        <w:pStyle w:val="ListBullet"/>
      </w:pPr>
      <w:r>
        <w:t>地点：河北工程大学（与25日同场地）</w:t>
      </w:r>
    </w:p>
    <w:p>
      <w:pPr>
        <w:pStyle w:val="ListBullet"/>
      </w:pPr>
      <w:r>
        <w:t>性质：企业工程应用报告 + 高校人才培养体系共建专场</w:t>
      </w:r>
    </w:p>
    <w:p>
      <w:pPr>
        <w:pStyle w:val="ListBullet"/>
      </w:pPr>
      <w:r>
        <w:t>主持形式：专场主持人主持，报告人依次上台，每位15分钟（含2分钟提问）</w:t>
      </w:r>
    </w:p>
    <w:p>
      <w:pPr>
        <w:pStyle w:val="ListBullet"/>
      </w:pPr>
      <w:r>
        <w:t>目标：</w:t>
      </w:r>
    </w:p>
    <w:p>
      <w:pPr>
        <w:pStyle w:val="ListNumber"/>
      </w:pPr>
      <w:r>
        <w:t>以企业视角证明产品在真实工程中可用、好用；</w:t>
      </w:r>
    </w:p>
    <w:p>
      <w:pPr>
        <w:pStyle w:val="ListNumber"/>
      </w:pPr>
      <w:r>
        <w:t>以高校视角呈现人才培养与产学研共建的落地路径；</w:t>
      </w:r>
    </w:p>
    <w:p>
      <w:pPr>
        <w:pStyle w:val="ListNumber"/>
      </w:pPr>
      <w:r>
        <w:t>形成企业—高校—产品方三方联动的公开见证，推动首批共建生态启动。</w:t>
      </w:r>
    </w:p>
    <w:p/>
    <w:p>
      <w:r/>
    </w:p>
    <w:p/>
    <w:p>
      <w:r>
        <w:rPr>
          <w:rFonts w:ascii="SimHei" w:hAnsi="SimHei" w:eastAsia="SimHei"/>
          <w:b/>
          <w:sz w:val="32"/>
        </w:rPr>
        <w:t>二、完整议程安排</w:t>
      </w:r>
    </w:p>
    <w:p/>
    <w:p>
      <w:r>
        <w:rPr>
          <w:rFonts w:ascii="SimHei" w:hAnsi="SimHei" w:eastAsia="SimHei"/>
          <w:b/>
          <w:sz w:val="28"/>
        </w:rPr>
        <w:t>开场（9:00—9:10）</w:t>
      </w:r>
    </w:p>
    <w:p/>
    <w:p>
      <w:pPr>
        <w:pStyle w:val="ListBullet"/>
      </w:pPr>
      <w:r>
        <w:t>主持人致辞，介绍本专场背景与参与单位阵容。</w:t>
      </w:r>
    </w:p>
    <w:p>
      <w:pPr>
        <w:pStyle w:val="ListBullet"/>
      </w:pPr>
      <w:r>
        <w:t>简要回顾4月25日发布会核心成果：六大产品发布、三端联动演示、案例见证、启动仪式。</w:t>
      </w:r>
    </w:p>
    <w:p>
      <w:pPr>
        <w:pStyle w:val="ListBullet"/>
      </w:pPr>
      <w:r>
        <w:t>宣布本专场两大单元：企业应用报告 + 高校人才培养报告。</w:t>
      </w:r>
    </w:p>
    <w:p/>
    <w:p>
      <w:r/>
    </w:p>
    <w:p/>
    <w:p>
      <w:r>
        <w:rPr>
          <w:rFonts w:ascii="SimHei" w:hAnsi="SimHei" w:eastAsia="SimHei"/>
          <w:b/>
          <w:sz w:val="28"/>
        </w:rPr>
        <w:t>第一单元：企业应用报告（9:10—10:40）</w:t>
      </w:r>
    </w:p>
    <w:p/>
    <w:p>
      <w:r>
        <w:t>**单元主旨：** 由具有真实工程应用场景的企业代表上台，分享在水网数字化、智能化方向的落地探索，为产品体系提供第三方工程背书。共6个报告，每位15分钟（含2分钟提问）。</w:t>
      </w:r>
    </w:p>
    <w:p/>
    <w:p>
      <w:r/>
    </w:p>
    <w:p/>
    <w:p>
      <w:r>
        <w:rPr>
          <w:rFonts w:ascii="SimHei" w:hAnsi="SimHei" w:eastAsia="SimHei"/>
          <w:b/>
          <w:sz w:val="24"/>
        </w:rPr>
        <w:t>报告1：大渡河大数据有限公司（9:10—9:25）</w:t>
      </w:r>
    </w:p>
    <w:p/>
    <w:p>
      <w:r>
        <w:t>**报告建议题目：** 梯级水电智能调度与认知智能应用探索</w:t>
      </w:r>
    </w:p>
    <w:p/>
    <w:p>
      <w:r>
        <w:t>**报告建议内容框架：**</w:t>
      </w:r>
    </w:p>
    <w:p/>
    <w:p>
      <w:pPr>
        <w:pStyle w:val="ListNumber"/>
      </w:pPr>
      <w:r>
        <w:t>大渡河流域梯级水电群的调度复杂性与数字化挑战：多库联调、多目标权衡、实时决策压力。</w:t>
      </w:r>
    </w:p>
    <w:p>
      <w:pPr>
        <w:pStyle w:val="ListNumber"/>
      </w:pPr>
      <w:r>
        <w:t>大数据与智能调度系统建设现状：数字孪生、调度支撑平台、数据中台建设。</w:t>
      </w:r>
    </w:p>
    <w:p>
      <w:pPr>
        <w:pStyle w:val="ListNumber"/>
      </w:pPr>
      <w:r>
        <w:t>引入认知智能技术的探索路径：从数据驱动到知识辅助决策的演进方向。</w:t>
      </w:r>
    </w:p>
    <w:p>
      <w:pPr>
        <w:pStyle w:val="ListNumber"/>
      </w:pPr>
      <w:r>
        <w:t>当前痛点与对产品体系的具体期望：调度智能体、预报模型、控制系统接入。</w:t>
      </w:r>
    </w:p>
    <w:p>
      <w:pPr>
        <w:pStyle w:val="ListNumber"/>
      </w:pPr>
      <w:r>
        <w:t>对水网认知智能产品的合作意向或下一步计划。</w:t>
      </w:r>
    </w:p>
    <w:p/>
    <w:p>
      <w:r>
        <w:t>**报告人建议：** 大渡河大数据有限公司技术或运营负责人</w:t>
      </w:r>
    </w:p>
    <w:p/>
    <w:p>
      <w:r/>
    </w:p>
    <w:p/>
    <w:p>
      <w:r>
        <w:rPr>
          <w:rFonts w:ascii="SimHei" w:hAnsi="SimHei" w:eastAsia="SimHei"/>
          <w:b/>
          <w:sz w:val="24"/>
        </w:rPr>
        <w:t>报告2：南水北调水网智科（9:25—9:40）</w:t>
      </w:r>
    </w:p>
    <w:p/>
    <w:p>
      <w:r>
        <w:t>**报告建议题目：** 长距离调水工程智能运行管理实践</w:t>
      </w:r>
    </w:p>
    <w:p/>
    <w:p>
      <w:r>
        <w:t>**报告建议内容框架：**</w:t>
      </w:r>
    </w:p>
    <w:p/>
    <w:p>
      <w:pPr>
        <w:pStyle w:val="ListNumber"/>
      </w:pPr>
      <w:r>
        <w:t>南水北调工程的规模与运行管理挑战：跨流域、长距离、多节点的协同运行难题。</w:t>
      </w:r>
    </w:p>
    <w:p>
      <w:pPr>
        <w:pStyle w:val="ListNumber"/>
      </w:pPr>
      <w:r>
        <w:t>水网智科在智能运行管理方面的探索：感知体系、预警体系、调度协同。</w:t>
      </w:r>
    </w:p>
    <w:p>
      <w:pPr>
        <w:pStyle w:val="ListNumber"/>
      </w:pPr>
      <w:r>
        <w:t>认知智能在调水工程中的应用场景识别：异常识别、调度辅助、设备健康管理。</w:t>
      </w:r>
    </w:p>
    <w:p>
      <w:pPr>
        <w:pStyle w:val="ListNumber"/>
      </w:pPr>
      <w:r>
        <w:t>对HydroClaw及相关产品的试用或合作路径。</w:t>
      </w:r>
    </w:p>
    <w:p>
      <w:pPr>
        <w:pStyle w:val="ListNumber"/>
      </w:pPr>
      <w:r>
        <w:t>对产业生态共建的期望：产品方、高校、科研院所的协同。</w:t>
      </w:r>
    </w:p>
    <w:p/>
    <w:p>
      <w:r>
        <w:t>**报告人建议：** 南水北调水网智科技术研发或运营管理负责人</w:t>
      </w:r>
    </w:p>
    <w:p/>
    <w:p>
      <w:r/>
    </w:p>
    <w:p/>
    <w:p>
      <w:r>
        <w:rPr>
          <w:rFonts w:ascii="SimHei" w:hAnsi="SimHei" w:eastAsia="SimHei"/>
          <w:b/>
          <w:sz w:val="24"/>
        </w:rPr>
        <w:t>报告3：胶东调水公司（9:40—9:55）</w:t>
      </w:r>
    </w:p>
    <w:p/>
    <w:p>
      <w:r>
        <w:t>**报告建议题目：** 胶东调水智慧运管体系建设经验</w:t>
      </w:r>
    </w:p>
    <w:p/>
    <w:p>
      <w:r>
        <w:t>**报告建议内容框架：**</w:t>
      </w:r>
    </w:p>
    <w:p/>
    <w:p>
      <w:pPr>
        <w:pStyle w:val="ListNumber"/>
      </w:pPr>
      <w:r>
        <w:t>胶东调水工程概况：工程规模、供水范围、运行特点。</w:t>
      </w:r>
    </w:p>
    <w:p>
      <w:pPr>
        <w:pStyle w:val="ListNumber"/>
      </w:pPr>
      <w:r>
        <w:t>智慧运管体系建设历程：从自动化到数字化，再到智能化的分阶段推进。</w:t>
      </w:r>
    </w:p>
    <w:p>
      <w:pPr>
        <w:pStyle w:val="ListNumber"/>
      </w:pPr>
      <w:r>
        <w:t>实际运管中遇到的数据治理、设备健康管理、调度优化挑战。</w:t>
      </w:r>
    </w:p>
    <w:p>
      <w:pPr>
        <w:pStyle w:val="ListNumber"/>
      </w:pPr>
      <w:r>
        <w:t>引入认知智能产品的思考：哪些业务场景最迫切、最具价值。</w:t>
      </w:r>
    </w:p>
    <w:p>
      <w:pPr>
        <w:pStyle w:val="ListNumber"/>
      </w:pPr>
      <w:r>
        <w:t>对产学研合作的态度与合作意向。</w:t>
      </w:r>
    </w:p>
    <w:p/>
    <w:p>
      <w:r>
        <w:t>**报告人建议：** 胶东调水公司技术或信息化负责人</w:t>
      </w:r>
    </w:p>
    <w:p/>
    <w:p>
      <w:r/>
    </w:p>
    <w:p/>
    <w:p>
      <w:r>
        <w:rPr>
          <w:rFonts w:ascii="SimHei" w:hAnsi="SimHei" w:eastAsia="SimHei"/>
          <w:b/>
          <w:sz w:val="24"/>
        </w:rPr>
        <w:t>报告4：禹贡科技（9:55—10:10）</w:t>
      </w:r>
    </w:p>
    <w:p/>
    <w:p>
      <w:r>
        <w:t>**报告建议题目：** 水网数字化产品工程化落地路径</w:t>
      </w:r>
    </w:p>
    <w:p/>
    <w:p>
      <w:r>
        <w:t>**报告建议内容框架：**</w:t>
      </w:r>
    </w:p>
    <w:p/>
    <w:p>
      <w:pPr>
        <w:pStyle w:val="ListNumber"/>
      </w:pPr>
      <w:r>
        <w:t>禹贡科技在水网数字化领域的产品定位与市场实践。</w:t>
      </w:r>
    </w:p>
    <w:p>
      <w:pPr>
        <w:pStyle w:val="ListNumber"/>
      </w:pPr>
      <w:r>
        <w:t>工程化落地的核心挑战：从实验室产品到现场可用产品的跨越。</w:t>
      </w:r>
    </w:p>
    <w:p>
      <w:pPr>
        <w:pStyle w:val="ListNumber"/>
      </w:pPr>
      <w:r>
        <w:t>与HydroClaw产品体系的协同切入点：数据接入、模型对接、智能体集成。</w:t>
      </w:r>
    </w:p>
    <w:p>
      <w:pPr>
        <w:pStyle w:val="ListNumber"/>
      </w:pPr>
      <w:r>
        <w:t>典型项目案例：在某具体工程中的产品化落地过程与效果。</w:t>
      </w:r>
    </w:p>
    <w:p>
      <w:pPr>
        <w:pStyle w:val="ListNumber"/>
      </w:pPr>
      <w:r>
        <w:t>对产品生态共建的具体合作建议。</w:t>
      </w:r>
    </w:p>
    <w:p/>
    <w:p>
      <w:r>
        <w:t>**报告人建议：** 禹贡科技创始人或产品/技术负责人</w:t>
      </w:r>
    </w:p>
    <w:p/>
    <w:p>
      <w:r/>
    </w:p>
    <w:p/>
    <w:p>
      <w:r>
        <w:rPr>
          <w:rFonts w:ascii="SimHei" w:hAnsi="SimHei" w:eastAsia="SimHei"/>
          <w:b/>
          <w:sz w:val="24"/>
        </w:rPr>
        <w:t>报告5：河北水发（10:10—10:25）</w:t>
      </w:r>
    </w:p>
    <w:p/>
    <w:p>
      <w:r>
        <w:t>**报告建议题目：** 河北区域水网运营管理数字化转型实践</w:t>
      </w:r>
    </w:p>
    <w:p/>
    <w:p>
      <w:r>
        <w:t>**报告建议内容框架：**</w:t>
      </w:r>
    </w:p>
    <w:p/>
    <w:p>
      <w:pPr>
        <w:pStyle w:val="ListNumber"/>
      </w:pPr>
      <w:r>
        <w:t>河北水发水网运营管理体系现状：供水范围、调度节点、运维规模。</w:t>
      </w:r>
    </w:p>
    <w:p>
      <w:pPr>
        <w:pStyle w:val="ListNumber"/>
      </w:pPr>
      <w:r>
        <w:t>数字化转型推进路径：基础设施升级、SCADA系统、管理平台建设历程。</w:t>
      </w:r>
    </w:p>
    <w:p>
      <w:pPr>
        <w:pStyle w:val="ListNumber"/>
      </w:pPr>
      <w:r>
        <w:t>运行管理核心痛点：跨区域协调、设备运维响应慢、调度决策信息滞后。</w:t>
      </w:r>
    </w:p>
    <w:p>
      <w:pPr>
        <w:pStyle w:val="ListNumber"/>
      </w:pPr>
      <w:r>
        <w:t>对认知智能产品的需求识别：异常预警、设备健康管理、供水调度辅助决策。</w:t>
      </w:r>
    </w:p>
    <w:p>
      <w:pPr>
        <w:pStyle w:val="ListNumber"/>
      </w:pPr>
      <w:r>
        <w:t>未来合作意向：试点项目选取、数据共享机制、与产品方联合标准研制。</w:t>
      </w:r>
    </w:p>
    <w:p/>
    <w:p>
      <w:r>
        <w:t>**报告人建议：** 河北水发信息化/数字化负责人</w:t>
      </w:r>
    </w:p>
    <w:p/>
    <w:p>
      <w:r/>
    </w:p>
    <w:p/>
    <w:p>
      <w:r>
        <w:rPr>
          <w:rFonts w:ascii="SimHei" w:hAnsi="SimHei" w:eastAsia="SimHei"/>
          <w:b/>
          <w:sz w:val="24"/>
        </w:rPr>
        <w:t>报告6：山东水发（10:25—10:40）</w:t>
      </w:r>
    </w:p>
    <w:p/>
    <w:p>
      <w:r>
        <w:t>**报告建议题目：** 山东区域水网数字化建设经验与智能化升级路径</w:t>
      </w:r>
    </w:p>
    <w:p/>
    <w:p>
      <w:r>
        <w:t>**报告建议内容框架：**</w:t>
      </w:r>
    </w:p>
    <w:p/>
    <w:p>
      <w:pPr>
        <w:pStyle w:val="ListNumber"/>
      </w:pPr>
      <w:r>
        <w:t>山东水发水网业务范围：省内重要水源工程与供水网络的运营格局。</w:t>
      </w:r>
    </w:p>
    <w:p>
      <w:pPr>
        <w:pStyle w:val="ListNumber"/>
      </w:pPr>
      <w:r>
        <w:t>数字化建设阶段成果：信息感知网络、调度管理平台、数据中台现状。</w:t>
      </w:r>
    </w:p>
    <w:p>
      <w:pPr>
        <w:pStyle w:val="ListNumber"/>
      </w:pPr>
      <w:r>
        <w:t>当前面临的智能化升级挑战：多源数据融合、跨系统互联互通、人员能力缺口。</w:t>
      </w:r>
    </w:p>
    <w:p>
      <w:pPr>
        <w:pStyle w:val="ListNumber"/>
      </w:pPr>
      <w:r>
        <w:t>对水网认知智能产品的关注点：智能调度支持、事件自动研判、运维智能化。</w:t>
      </w:r>
    </w:p>
    <w:p>
      <w:pPr>
        <w:pStyle w:val="ListNumber"/>
      </w:pPr>
      <w:r>
        <w:t>对产学研生态合作的期待：希望参与哪类合作形式（试点、共建、标准）。</w:t>
      </w:r>
    </w:p>
    <w:p/>
    <w:p>
      <w:r>
        <w:t>**报告人建议：** 山东水发信息化/数字化负责人</w:t>
      </w:r>
    </w:p>
    <w:p/>
    <w:p>
      <w:r/>
    </w:p>
    <w:p/>
    <w:p>
      <w:r>
        <w:t>**茶歇（10:40—11:00）**</w:t>
      </w:r>
    </w:p>
    <w:p/>
    <w:p>
      <w:r>
        <w:rPr>
          <w:i/>
        </w:rPr>
        <w:t>茶歇期间在场外开放体验区，供企业与高校代表试用HydroClaw产品，并进行非正式交流。</w:t>
      </w:r>
    </w:p>
    <w:p/>
    <w:p>
      <w:r/>
    </w:p>
    <w:p/>
    <w:p>
      <w:r>
        <w:rPr>
          <w:rFonts w:ascii="SimHei" w:hAnsi="SimHei" w:eastAsia="SimHei"/>
          <w:b/>
          <w:sz w:val="28"/>
        </w:rPr>
        <w:t>第二单元：高校人才培养体系报告（11:00—11:50）</w:t>
      </w:r>
    </w:p>
    <w:p/>
    <w:p>
      <w:r>
        <w:t>**单元主旨：** 由高校代表上台，分享水利智能化方向人才培养体系建设情况，推动课程共建、教材合作、联合实验室等具体合作落地。</w:t>
      </w:r>
    </w:p>
    <w:p/>
    <w:p>
      <w:r>
        <w:t>**高校报告建议重点涵盖方向：**</w:t>
      </w:r>
    </w:p>
    <w:p>
      <w:pPr>
        <w:pStyle w:val="ListBullet"/>
      </w:pPr>
      <w:r>
        <w:t>现有人才培养体系架构（本科/研究生/职业教育）</w:t>
      </w:r>
    </w:p>
    <w:p>
      <w:pPr>
        <w:pStyle w:val="ListBullet"/>
      </w:pPr>
      <w:r>
        <w:t>已开设或计划开设的相关课程与教材情况</w:t>
      </w:r>
    </w:p>
    <w:p>
      <w:pPr>
        <w:pStyle w:val="ListBullet"/>
      </w:pPr>
      <w:r>
        <w:t>实验室建设现状与仿真实训平台需求</w:t>
      </w:r>
    </w:p>
    <w:p>
      <w:pPr>
        <w:pStyle w:val="ListBullet"/>
      </w:pPr>
      <w:r>
        <w:t>与企业、科研院所协同育人的经验与期望</w:t>
      </w:r>
    </w:p>
    <w:p>
      <w:pPr>
        <w:pStyle w:val="ListBullet"/>
      </w:pPr>
      <w:r>
        <w:t>对水网认知智能领域课程共建的具体诉求与建议</w:t>
      </w:r>
    </w:p>
    <w:p/>
    <w:p>
      <w:r/>
    </w:p>
    <w:p/>
    <w:p>
      <w:r>
        <w:rPr>
          <w:rFonts w:ascii="SimHei" w:hAnsi="SimHei" w:eastAsia="SimHei"/>
          <w:b/>
          <w:sz w:val="24"/>
        </w:rPr>
        <w:t>报告7：浙江水利水电学院（11:00—11:15）</w:t>
      </w:r>
    </w:p>
    <w:p/>
    <w:p>
      <w:r>
        <w:t>**报告建议题目：** 水利智能化人才培养课程体系建设实践</w:t>
      </w:r>
    </w:p>
    <w:p/>
    <w:p>
      <w:r>
        <w:t>**报告建议内容框架：**</w:t>
      </w:r>
    </w:p>
    <w:p/>
    <w:p>
      <w:pPr>
        <w:pStyle w:val="ListNumber"/>
      </w:pPr>
      <w:r>
        <w:t>浙江水利水电学院在水利信息化与智能化方向的专业布局。</w:t>
      </w:r>
    </w:p>
    <w:p>
      <w:pPr>
        <w:pStyle w:val="ListNumber"/>
      </w:pPr>
      <w:r>
        <w:t>已建设的相关课程体系：智慧水利、水文信息系统、数字孪生水网等课程开设情况。</w:t>
      </w:r>
    </w:p>
    <w:p>
      <w:pPr>
        <w:pStyle w:val="ListNumber"/>
      </w:pPr>
      <w:r>
        <w:t>与企业协同育人的现有探索：实习基地、联合项目、产教融合。</w:t>
      </w:r>
    </w:p>
    <w:p>
      <w:pPr>
        <w:pStyle w:val="ListNumber"/>
      </w:pPr>
      <w:r>
        <w:t>当前痛点：实验实训条件不足、缺乏与工程实际结合的教学素材。</w:t>
      </w:r>
    </w:p>
    <w:p>
      <w:pPr>
        <w:pStyle w:val="ListNumber"/>
      </w:pPr>
      <w:r>
        <w:t>对课程共建的具体期望：希望引入哪类产品、哪类案例、哪类教学资源。</w:t>
      </w:r>
    </w:p>
    <w:p/>
    <w:p>
      <w:r>
        <w:t>**合作建议：** 重点推动在水利AI课程中引入HydroClaw实训模块及配套教材。</w:t>
      </w:r>
    </w:p>
    <w:p/>
    <w:p>
      <w:r/>
    </w:p>
    <w:p/>
    <w:p>
      <w:r>
        <w:rPr>
          <w:rFonts w:ascii="SimHei" w:hAnsi="SimHei" w:eastAsia="SimHei"/>
          <w:b/>
          <w:sz w:val="24"/>
        </w:rPr>
        <w:t>报告8：珠科院（珠江水利科学研究院）（11:15—11:30）</w:t>
      </w:r>
    </w:p>
    <w:p/>
    <w:p>
      <w:r>
        <w:t>**报告建议题目：** 产学研协同育人模式探索与科研成果转化</w:t>
      </w:r>
    </w:p>
    <w:p/>
    <w:p>
      <w:r>
        <w:t>**报告建议内容框架：**</w:t>
      </w:r>
    </w:p>
    <w:p/>
    <w:p>
      <w:pPr>
        <w:pStyle w:val="ListNumber"/>
      </w:pPr>
      <w:r>
        <w:t>珠科院在水利科研与人才培养方面的双重定位。</w:t>
      </w:r>
    </w:p>
    <w:p>
      <w:pPr>
        <w:pStyle w:val="ListNumber"/>
      </w:pPr>
      <w:r>
        <w:t>产学研协同育人模式探索：与高校联合培养研究生、与企业开展技术合作的路径。</w:t>
      </w:r>
    </w:p>
    <w:p>
      <w:pPr>
        <w:pStyle w:val="ListNumber"/>
      </w:pPr>
      <w:r>
        <w:t>科研成果向教学内容与产品的转化经验：数值模拟、智能调度、水资源优化研究的课程化。</w:t>
      </w:r>
    </w:p>
    <w:p>
      <w:pPr>
        <w:pStyle w:val="ListNumber"/>
      </w:pPr>
      <w:r>
        <w:t>对认知智能产品体系与科研工作的结合点：HydroClaw在科研场景中的应用潜力。</w:t>
      </w:r>
    </w:p>
    <w:p>
      <w:pPr>
        <w:pStyle w:val="ListNumber"/>
      </w:pPr>
      <w:r>
        <w:t>希望推动的共建方向：联合研究中心、研究生实习基地、标准研制合作。</w:t>
      </w:r>
    </w:p>
    <w:p/>
    <w:p>
      <w:r>
        <w:t>**合作建议：** 推动珠科院作为南方区域的产学研合作节点，联合发布行业应用研究报告。</w:t>
      </w:r>
    </w:p>
    <w:p/>
    <w:p>
      <w:r/>
    </w:p>
    <w:p/>
    <w:p>
      <w:r>
        <w:rPr>
          <w:rFonts w:ascii="SimHei" w:hAnsi="SimHei" w:eastAsia="SimHei"/>
          <w:b/>
          <w:sz w:val="24"/>
        </w:rPr>
        <w:t>报告9：太原理工大学（11:30—11:45）</w:t>
      </w:r>
    </w:p>
    <w:p/>
    <w:p>
      <w:r>
        <w:t>**报告建议题目：** 水网认知智能方向研究生培养体系与联合实验室建设</w:t>
      </w:r>
    </w:p>
    <w:p/>
    <w:p>
      <w:r>
        <w:t>**报告建议内容框架：**</w:t>
      </w:r>
    </w:p>
    <w:p/>
    <w:p>
      <w:pPr>
        <w:pStyle w:val="ListNumber"/>
      </w:pPr>
      <w:r>
        <w:t>太原理工大学在水利工程与智能化交叉方向的学科布局与研究积累。</w:t>
      </w:r>
    </w:p>
    <w:p>
      <w:pPr>
        <w:pStyle w:val="ListNumber"/>
      </w:pPr>
      <w:r>
        <w:t>面向水网认知智能方向的研究生培养体系设计：培养目标、课程方向、导师队伍。</w:t>
      </w:r>
    </w:p>
    <w:p>
      <w:pPr>
        <w:pStyle w:val="ListNumber"/>
      </w:pPr>
      <w:r>
        <w:t>联合实验室建设设想：仿真实训平台、在环测试条件、数据共享机制。</w:t>
      </w:r>
    </w:p>
    <w:p>
      <w:pPr>
        <w:pStyle w:val="ListNumber"/>
      </w:pPr>
      <w:r>
        <w:t>与产品方深度合作的路径：研究生参与产品测试、教师参与标准制定、产品嵌入教学场景。</w:t>
      </w:r>
    </w:p>
    <w:p>
      <w:pPr>
        <w:pStyle w:val="ListNumber"/>
      </w:pPr>
      <w:r>
        <w:t>已有合作基础与下一步推进计划。</w:t>
      </w:r>
    </w:p>
    <w:p/>
    <w:p>
      <w:r>
        <w:t>**合作建议：** 将太原理工定位为北方区域"水网认知智能联合实验室"的主要共建高校，推动落地协议签署。</w:t>
      </w:r>
    </w:p>
    <w:p/>
    <w:p>
      <w:r/>
    </w:p>
    <w:p/>
    <w:p>
      <w:r>
        <w:rPr>
          <w:rFonts w:ascii="SimHei" w:hAnsi="SimHei" w:eastAsia="SimHei"/>
          <w:b/>
          <w:sz w:val="28"/>
        </w:rPr>
        <w:t>闭幕与产学研共同体启动（11:45—12:00）</w:t>
      </w:r>
    </w:p>
    <w:p/>
    <w:p>
      <w:pPr>
        <w:pStyle w:val="ListNumber"/>
      </w:pPr>
      <w:r>
        <w:t>**主持人总结：** 梳理企业与高校报告的核心观点，提炼共同关切与合作诉求。</w:t>
      </w:r>
    </w:p>
    <w:p>
      <w:pPr>
        <w:pStyle w:val="ListNumber"/>
      </w:pPr>
      <w:r>
        <w:t>**共同体启动：** 正式宣布"水网认知智能产学研共同体"启动，公布首批共建单位名单（含企业、高校、科研院所）。</w:t>
      </w:r>
    </w:p>
    <w:p>
      <w:pPr>
        <w:pStyle w:val="ListNumber"/>
      </w:pPr>
      <w:r>
        <w:t>**共建邀约发出：**</w:t>
      </w:r>
    </w:p>
    <w:p>
      <w:pPr>
        <w:pStyle w:val="ListBullet"/>
      </w:pPr>
      <w:r>
        <w:t>试用申请通道（扫码即可申请HydroClaw试用）</w:t>
      </w:r>
    </w:p>
    <w:p>
      <w:pPr>
        <w:pStyle w:val="ListBullet"/>
      </w:pPr>
      <w:r>
        <w:t>课程共建申请通道（扫码提交课程合作意向）</w:t>
      </w:r>
    </w:p>
    <w:p>
      <w:pPr>
        <w:pStyle w:val="ListBullet"/>
      </w:pPr>
      <w:r>
        <w:t>联合实验室共建申请通道</w:t>
      </w:r>
    </w:p>
    <w:p>
      <w:pPr>
        <w:pStyle w:val="ListBullet"/>
      </w:pPr>
      <w:r>
        <w:t>人才输送与实习合作通道</w:t>
      </w:r>
    </w:p>
    <w:p>
      <w:pPr>
        <w:pStyle w:val="ListNumber"/>
      </w:pPr>
      <w:r>
        <w:t>**集体合影留念。**</w:t>
      </w:r>
    </w:p>
    <w:p/>
    <w:p>
      <w:r/>
    </w:p>
    <w:p/>
    <w:p>
      <w:r>
        <w:rPr>
          <w:rFonts w:ascii="SimHei" w:hAnsi="SimHei" w:eastAsia="SimHei"/>
          <w:b/>
          <w:sz w:val="32"/>
        </w:rPr>
        <w:t>三、26 日上午专场定位与议程设计</w:t>
      </w:r>
    </w:p>
    <w:p/>
    <w:p>
      <w:r>
        <w:rPr>
          <w:rFonts w:ascii="SimHei" w:hAnsi="SimHei" w:eastAsia="SimHei"/>
          <w:b/>
          <w:sz w:val="28"/>
        </w:rPr>
        <w:t>（一）专场名称建议</w:t>
      </w:r>
    </w:p>
    <w:p/>
    <w:p>
      <w:r>
        <w:t>企业与高校应用报告专场</w:t>
      </w:r>
    </w:p>
    <w:p/>
    <w:p>
      <w:r>
        <w:rPr>
          <w:rFonts w:ascii="SimHei" w:hAnsi="SimHei" w:eastAsia="SimHei"/>
          <w:b/>
          <w:sz w:val="28"/>
        </w:rPr>
        <w:t>（二）专场定位</w:t>
      </w:r>
    </w:p>
    <w:p/>
    <w:p>
      <w:r>
        <w:t>该专场不再重复 25 日下午的产品发布内容，而是承接发布会热度，集中回答三个关键问题：</w:t>
      </w:r>
    </w:p>
    <w:p/>
    <w:p>
      <w:pPr>
        <w:pStyle w:val="ListNumber"/>
      </w:pPr>
      <w:r>
        <w:t>谁最适合成为首批应用单位与试点单位。</w:t>
      </w:r>
    </w:p>
    <w:p>
      <w:pPr>
        <w:pStyle w:val="ListNumber"/>
      </w:pPr>
      <w:r>
        <w:t>哪些高校与科研院所适合率先开展课程共建、实验室共建与人才输送。</w:t>
      </w:r>
    </w:p>
    <w:p>
      <w:pPr>
        <w:pStyle w:val="ListNumber"/>
      </w:pPr>
      <w:r>
        <w:t>如何把“发布”快速转为“试用、合作、标准、联合培养”等可执行事项。</w:t>
      </w:r>
    </w:p>
    <w:p/>
    <w:p>
      <w:r>
        <w:rPr>
          <w:rFonts w:ascii="SimHei" w:hAnsi="SimHei" w:eastAsia="SimHei"/>
          <w:b/>
          <w:sz w:val="28"/>
        </w:rPr>
        <w:t>（三）专场组织逻辑</w:t>
      </w:r>
    </w:p>
    <w:p/>
    <w:p>
      <w:pPr>
        <w:pStyle w:val="ListBullet"/>
      </w:pPr>
      <w:r>
        <w:t>第一单元以企业和平台型单位为主，突出真实场景、真实需求、真实合作机会。</w:t>
      </w:r>
    </w:p>
    <w:p>
      <w:pPr>
        <w:pStyle w:val="ListBullet"/>
      </w:pPr>
      <w:r>
        <w:t>第二单元以高校和科研院所为主，突出课程体系、人才培养、联合实验室和研究合作。</w:t>
      </w:r>
    </w:p>
    <w:p>
      <w:pPr>
        <w:pStyle w:val="ListBullet"/>
      </w:pPr>
      <w:r>
        <w:t>闭幕环节统一落到“水网认知智能产学研共同体”启动，形成业务与生态双收口。</w:t>
      </w:r>
    </w:p>
    <w:p/>
    <w:p>
      <w:r>
        <w:rPr>
          <w:rFonts w:ascii="SimHei" w:hAnsi="SimHei" w:eastAsia="SimHei"/>
          <w:b/>
          <w:sz w:val="28"/>
        </w:rPr>
        <w:t>（四）26 日上午总议程表</w:t>
      </w:r>
    </w:p>
    <w:p/>
    <w:p>
      <w:r>
        <w:t>| 时间 | 环节 | 单位/内容 | 备注 |</w:t>
      </w:r>
    </w:p>
    <w:p>
      <w:r>
        <w:t>|------|------|-----------|------|</w:t>
      </w:r>
    </w:p>
    <w:p>
      <w:r>
        <w:t>| 08:30—09:00 | 嘉宾签到 | 企业与高校代表签到、资料发放、现场交流 | 体验区同步开放 |</w:t>
      </w:r>
    </w:p>
    <w:p>
      <w:r>
        <w:t>| 09:00—09:10 | 主持开场 | 介绍专场定位、嘉宾阵容、合作目标 | 强调“应用与合作” |</w:t>
      </w:r>
    </w:p>
    <w:p>
      <w:r>
        <w:t>| 09:10—10:40 | 第一单元 | 企业与平台报告专场 | 6 个主报告 |</w:t>
      </w:r>
    </w:p>
    <w:p>
      <w:r>
        <w:t>| 10:40—11:00 | 茶歇交流 | 试用体验、意向洽谈、媒体拍摄 | 设置二维码收集合作意向 |</w:t>
      </w:r>
    </w:p>
    <w:p>
      <w:r>
        <w:t>| 11:00—11:45 | 第二单元 | 高校与科研院所报告专场 | 3 个主报告 |</w:t>
      </w:r>
    </w:p>
    <w:p>
      <w:r>
        <w:t>| 11:45—12:00 | 闭幕启动 | 共同体启动、首批共建单位发布、集体合影 | 建议设置授牌或点亮仪式 |</w:t>
      </w:r>
    </w:p>
    <w:p/>
    <w:p>
      <w:r>
        <w:rPr>
          <w:rFonts w:ascii="SimHei" w:hAnsi="SimHei" w:eastAsia="SimHei"/>
          <w:b/>
          <w:sz w:val="28"/>
        </w:rPr>
        <w:t>（五）现场目标产出</w:t>
      </w:r>
    </w:p>
    <w:p/>
    <w:p>
      <w:pPr>
        <w:pStyle w:val="ListBullet"/>
      </w:pPr>
      <w:r>
        <w:t>企业侧：收集试用申请、试点合作、联合研发、标准共建等意向</w:t>
      </w:r>
    </w:p>
    <w:p>
      <w:pPr>
        <w:pStyle w:val="ListBullet"/>
      </w:pPr>
      <w:r>
        <w:t>高校侧：收集课程共建、教材合作、联合实验室、实习就业合作等意向</w:t>
      </w:r>
    </w:p>
    <w:p>
      <w:pPr>
        <w:pStyle w:val="ListBullet"/>
      </w:pPr>
      <w:r>
        <w:t>传播侧：形成“企业与高校共议水网认知智能落地路径”的媒体口径</w:t>
      </w:r>
    </w:p>
    <w:p>
      <w:pPr>
        <w:pStyle w:val="ListBullet"/>
      </w:pPr>
      <w:r>
        <w:t>会务侧：形成可分配、可追踪、可会后转化的合作线索台账</w:t>
      </w:r>
    </w:p>
    <w:p/>
    <w:p>
      <w:r>
        <w:rPr>
          <w:rFonts w:ascii="SimHei" w:hAnsi="SimHei" w:eastAsia="SimHei"/>
          <w:b/>
          <w:sz w:val="32"/>
        </w:rPr>
        <w:t>四、南方阀门参与说明</w:t>
      </w:r>
    </w:p>
    <w:p/>
    <w:p>
      <w:r>
        <w:t>南方阀门作为水网智能控制设备领域代表企业，建议安排以下方式之一参与：</w:t>
      </w:r>
    </w:p>
    <w:p/>
    <w:p>
      <w:pPr>
        <w:pStyle w:val="ListBullet"/>
      </w:pPr>
      <w:r>
        <w:t>**方式一（推荐）：** 在第一单元企业报告中增设报告席位，报告题目建议为"智能阀门与水网控制末端数字化实践"，重点呈现智能阀门产品在水网运行中的感知、执行与反馈能力，以及与HydroClaw控制体系的接入潜力。</w:t>
      </w:r>
    </w:p>
    <w:p>
      <w:pPr>
        <w:pStyle w:val="ListBullet"/>
      </w:pPr>
      <w:r>
        <w:t>**方式二：** 以战略合作伙伴身份在闭幕环节亮相，列入首批共建单位名单，由代表上台简短发言（3分钟）表达合作意向。</w:t>
      </w:r>
    </w:p>
    <w:p/>
    <w:p>
      <w:r>
        <w:t>请根据南方阀门参会确认情况选择方式。</w:t>
      </w:r>
    </w:p>
    <w:p/>
    <w:p>
      <w:r/>
    </w:p>
    <w:p/>
    <w:p>
      <w:r>
        <w:rPr>
          <w:rFonts w:ascii="SimHei" w:hAnsi="SimHei" w:eastAsia="SimHei"/>
          <w:b/>
          <w:sz w:val="32"/>
        </w:rPr>
        <w:t>五、会场与执行要求</w:t>
      </w:r>
    </w:p>
    <w:p/>
    <w:p>
      <w:r>
        <w:rPr>
          <w:rFonts w:ascii="SimHei" w:hAnsi="SimHei" w:eastAsia="SimHei"/>
          <w:b/>
          <w:sz w:val="28"/>
        </w:rPr>
        <w:t>会场布置</w:t>
      </w:r>
    </w:p>
    <w:p/>
    <w:p>
      <w:pPr>
        <w:pStyle w:val="ListBullet"/>
      </w:pPr>
      <w:r>
        <w:t>报告席：讲台 + 主屏投影 + 无线麦克风 + 计时提示</w:t>
      </w:r>
    </w:p>
    <w:p>
      <w:pPr>
        <w:pStyle w:val="ListBullet"/>
      </w:pPr>
      <w:r>
        <w:t>座席：企业代表区、高校代表区、媒体区分区落座，预留合影站位区</w:t>
      </w:r>
    </w:p>
    <w:p>
      <w:pPr>
        <w:pStyle w:val="ListBullet"/>
      </w:pPr>
      <w:r>
        <w:t>签到：单独设26日上午签到台，与25日嘉宾区分管理，签到信息作为合作线索录入</w:t>
      </w:r>
    </w:p>
    <w:p/>
    <w:p>
      <w:r>
        <w:rPr>
          <w:rFonts w:ascii="SimHei" w:hAnsi="SimHei" w:eastAsia="SimHei"/>
          <w:b/>
          <w:sz w:val="28"/>
        </w:rPr>
        <w:t>材料准备</w:t>
      </w:r>
    </w:p>
    <w:p/>
    <w:p>
      <w:pPr>
        <w:pStyle w:val="ListBullet"/>
      </w:pPr>
      <w:r>
        <w:t>提前收集各单位报告PPT，统一格式与字体（建议使用发布会主视觉模板）</w:t>
      </w:r>
    </w:p>
    <w:p>
      <w:pPr>
        <w:pStyle w:val="ListBullet"/>
      </w:pPr>
      <w:r>
        <w:t>提前确认各报告人姓名、职务、单位全称，用于主持人介绍与大屏字幕显示</w:t>
      </w:r>
    </w:p>
    <w:p>
      <w:pPr>
        <w:pStyle w:val="ListBullet"/>
      </w:pPr>
      <w:r>
        <w:t>为每位报告人准备嘉宾手卡（含议程、报告时间提示、茶歇信息）</w:t>
      </w:r>
    </w:p>
    <w:p/>
    <w:p>
      <w:r>
        <w:rPr>
          <w:rFonts w:ascii="SimHei" w:hAnsi="SimHei" w:eastAsia="SimHei"/>
          <w:b/>
          <w:sz w:val="28"/>
        </w:rPr>
        <w:t>直播与传播</w:t>
      </w:r>
    </w:p>
    <w:p/>
    <w:p>
      <w:pPr>
        <w:pStyle w:val="ListBullet"/>
      </w:pPr>
      <w:r>
        <w:t>26日上午同步开启直播（可与25日共用直播间，单独创建专场标题与封面）</w:t>
      </w:r>
    </w:p>
    <w:p>
      <w:pPr>
        <w:pStyle w:val="ListBullet"/>
      </w:pPr>
      <w:r>
        <w:t>每位报告人的核心金句单独剪辑为30秒短视频，用于会后二次传播</w:t>
      </w:r>
    </w:p>
    <w:p>
      <w:pPr>
        <w:pStyle w:val="ListBullet"/>
      </w:pPr>
      <w:r>
        <w:t>会后整理各单位报告摘要，汇编为"企业与高校应用报告集"推文发布</w:t>
      </w:r>
    </w:p>
    <w:p>
      <w:pPr>
        <w:pStyle w:val="ListBullet"/>
      </w:pPr>
      <w:r>
        <w:t>合影照片当日发布，配文突出"首批共建单位"身份</w:t>
      </w:r>
    </w:p>
    <w:p/>
    <w:p>
      <w:r>
        <w:rPr>
          <w:rFonts w:ascii="SimHei" w:hAnsi="SimHei" w:eastAsia="SimHei"/>
          <w:b/>
          <w:sz w:val="28"/>
        </w:rPr>
        <w:t>会后跟进</w:t>
      </w:r>
    </w:p>
    <w:p/>
    <w:p>
      <w:r>
        <w:t>| 对象类型 | 跟进动作 | 时间要求 |</w:t>
      </w:r>
    </w:p>
    <w:p>
      <w:r>
        <w:t>|----------|----------|----------|</w:t>
      </w:r>
    </w:p>
    <w:p>
      <w:r>
        <w:t>| 企业单位 | 发送试用申请确认 + 合作意向沟通 | 会后48小时内 |</w:t>
      </w:r>
    </w:p>
    <w:p>
      <w:r>
        <w:t>| 高校单位 | 发送联合实验室/课程共建意向确认函 | 会后48小时内 |</w:t>
      </w:r>
    </w:p>
    <w:p>
      <w:r>
        <w:t>| 所有参会单位 | 发送发布会回放链接 + 报告集推文 | 会后72小时内 |</w:t>
      </w:r>
    </w:p>
    <w:p/>
    <w:p>
      <w:r/>
    </w:p>
    <w:p/>
    <w:p>
      <w:r>
        <w:rPr>
          <w:rFonts w:ascii="SimHei" w:hAnsi="SimHei" w:eastAsia="SimHei"/>
          <w:b/>
          <w:sz w:val="32"/>
        </w:rPr>
        <w:t>六、26日专场物料补充清单</w:t>
      </w:r>
    </w:p>
    <w:p/>
    <w:p>
      <w:pPr>
        <w:pStyle w:val="ListBullet"/>
      </w:pPr>
      <w:r>
        <w:t>26日专场签到背景板（含专场主题"企业与高校应用报告专场"）</w:t>
      </w:r>
    </w:p>
    <w:p>
      <w:pPr>
        <w:pStyle w:val="ListBullet"/>
      </w:pPr>
      <w:r>
        <w:t>报告人席位牌（含单位名称与报告人姓名）</w:t>
      </w:r>
    </w:p>
    <w:p>
      <w:pPr>
        <w:pStyle w:val="ListBullet"/>
      </w:pPr>
      <w:r>
        <w:t>茶歇区体验台（HydroClaw演示设备 × 2）</w:t>
      </w:r>
    </w:p>
    <w:p>
      <w:pPr>
        <w:pStyle w:val="ListBullet"/>
      </w:pPr>
      <w:r>
        <w:t>共同体启动仪式道具（授牌证书或点亮仪式素材）</w:t>
      </w:r>
    </w:p>
    <w:p>
      <w:pPr>
        <w:pStyle w:val="ListBullet"/>
      </w:pPr>
      <w:r>
        <w:t>首批共建单位名单展示大屏页面</w:t>
      </w:r>
    </w:p>
    <w:p>
      <w:pPr>
        <w:pStyle w:val="ListBullet"/>
      </w:pPr>
      <w:r>
        <w:t>试用申请二维码立牌 × 3（企业试用、课程共建、联合实验室）</w:t>
      </w:r>
    </w:p>
    <w:p>
      <w:pPr>
        <w:pStyle w:val="ListBullet"/>
      </w:pPr>
      <w:r>
        <w:t>嘉宾合影背景板（含"水网认知智能产学研共同体"字样）</w:t>
      </w:r>
    </w:p>
    <w:p/>
    <w:p>
      <w:r>
        <w:rPr>
          <w:rFonts w:ascii="SimHei" w:hAnsi="SimHei" w:eastAsia="SimHei"/>
          <w:b/>
          <w:sz w:val="32"/>
        </w:rPr>
        <w:t>七、会后推进与转化建议</w:t>
      </w:r>
    </w:p>
    <w:p/>
    <w:p>
      <w:r>
        <w:rPr>
          <w:rFonts w:ascii="SimHei" w:hAnsi="SimHei" w:eastAsia="SimHei"/>
          <w:b/>
          <w:sz w:val="28"/>
        </w:rPr>
        <w:t>（一）单位分层跟进</w:t>
      </w:r>
    </w:p>
    <w:p/>
    <w:p>
      <w:r>
        <w:t>建议按“重点单位、潜在合作单位、传播协同单位”三类管理：</w:t>
      </w:r>
    </w:p>
    <w:p/>
    <w:p>
      <w:pPr>
        <w:pStyle w:val="ListBullet"/>
      </w:pPr>
      <w:r>
        <w:t>重点单位：大渡河大数据有限公司、南水北调水网智科、胶东调水公司、河北水发、山东水发</w:t>
      </w:r>
    </w:p>
    <w:p>
      <w:pPr>
        <w:pStyle w:val="ListBullet"/>
      </w:pPr>
      <w:r>
        <w:t>潜在合作单位：禹贡科技、南方阀门</w:t>
      </w:r>
    </w:p>
    <w:p>
      <w:pPr>
        <w:pStyle w:val="ListBullet"/>
      </w:pPr>
      <w:r>
        <w:t>高校与科研共建单位：浙江水利水电学院、珠江水利科学研究院、太原理工大学</w:t>
      </w:r>
    </w:p>
    <w:p/>
    <w:p>
      <w:r>
        <w:rPr>
          <w:rFonts w:ascii="SimHei" w:hAnsi="SimHei" w:eastAsia="SimHei"/>
          <w:b/>
          <w:sz w:val="28"/>
        </w:rPr>
        <w:t>（二）会后 7 天内建议动作</w:t>
      </w:r>
    </w:p>
    <w:p/>
    <w:p>
      <w:pPr>
        <w:pStyle w:val="ListNumber"/>
      </w:pPr>
      <w:r>
        <w:t>向全部参会单位发送感谢函、回放链接、现场照片、报告摘要。</w:t>
      </w:r>
    </w:p>
    <w:p>
      <w:pPr>
        <w:pStyle w:val="ListNumber"/>
      </w:pPr>
      <w:r>
        <w:t>向企业单位发送试用申请表和合作意向回执。</w:t>
      </w:r>
    </w:p>
    <w:p>
      <w:pPr>
        <w:pStyle w:val="ListNumber"/>
      </w:pPr>
      <w:r>
        <w:t>向高校与科研院所发送课程共建和联合实验室意向函。</w:t>
      </w:r>
    </w:p>
    <w:p>
      <w:pPr>
        <w:pStyle w:val="ListNumber"/>
      </w:pPr>
      <w:r>
        <w:t>对重点单位安排 1 对 1 线上或线下复盘会，推动形成下一步行动节点。</w:t>
      </w:r>
    </w:p>
    <w:p/>
    <w:p>
      <w:r>
        <w:rPr>
          <w:rFonts w:ascii="SimHei" w:hAnsi="SimHei" w:eastAsia="SimHei"/>
          <w:b/>
          <w:sz w:val="28"/>
        </w:rPr>
        <w:t>（三）可转化成果包建议</w:t>
      </w:r>
    </w:p>
    <w:p/>
    <w:p>
      <w:pPr>
        <w:pStyle w:val="ListBullet"/>
      </w:pPr>
      <w:r>
        <w:t>《首批共建单位名单》</w:t>
      </w:r>
    </w:p>
    <w:p>
      <w:pPr>
        <w:pStyle w:val="ListBullet"/>
      </w:pPr>
      <w:r>
        <w:t>《企业与高校应用报告摘要集》</w:t>
      </w:r>
    </w:p>
    <w:p>
      <w:pPr>
        <w:pStyle w:val="ListBullet"/>
      </w:pPr>
      <w:r>
        <w:t>《HydroClaw 试用申请指引》</w:t>
      </w:r>
    </w:p>
    <w:p>
      <w:pPr>
        <w:pStyle w:val="ListBullet"/>
      </w:pPr>
      <w:r>
        <w:t>《课程共建与联合实验室合作建议书》</w:t>
      </w:r>
    </w:p>
    <w:p>
      <w:pPr>
        <w:pStyle w:val="ListBullet"/>
      </w:pPr>
      <w:r>
        <w:t>《会后合作线索跟进表》</w:t>
      </w:r>
    </w:p>
    <w:p/>
    <w:p>
      <w:r>
        <w:rPr>
          <w:rFonts w:ascii="SimHei" w:hAnsi="SimHei" w:eastAsia="SimHei"/>
          <w:b/>
          <w:sz w:val="32"/>
        </w:rPr>
        <w:t>八、建议作为附件的配套材料</w:t>
      </w:r>
    </w:p>
    <w:p/>
    <w:p>
      <w:r>
        <w:t>建议与本方案一并准备以下附件，方便完整汇报和执行：</w:t>
      </w:r>
    </w:p>
    <w:p/>
    <w:p>
      <w:pPr>
        <w:pStyle w:val="ListNumber"/>
      </w:pPr>
      <w:r>
        <w:t>主持词初稿</w:t>
      </w:r>
    </w:p>
    <w:p>
      <w:pPr>
        <w:pStyle w:val="ListNumber"/>
      </w:pPr>
      <w:r>
        <w:t>25 日下午主会场详细议程表</w:t>
      </w:r>
    </w:p>
    <w:p>
      <w:pPr>
        <w:pStyle w:val="ListNumber"/>
      </w:pPr>
      <w:r>
        <w:t>26 日上午专场详细议程表</w:t>
      </w:r>
    </w:p>
    <w:p>
      <w:pPr>
        <w:pStyle w:val="ListNumber"/>
      </w:pPr>
      <w:r>
        <w:t>嘉宾邀请与确认清单</w:t>
      </w:r>
    </w:p>
    <w:p>
      <w:pPr>
        <w:pStyle w:val="ListNumber"/>
      </w:pPr>
      <w:r>
        <w:t>首批共建单位名单展示页</w:t>
      </w:r>
    </w:p>
    <w:p>
      <w:pPr>
        <w:pStyle w:val="ListNumber"/>
      </w:pPr>
      <w:r>
        <w:t>现场导视与背景板文案</w:t>
      </w:r>
    </w:p>
    <w:p>
      <w:pPr>
        <w:pStyle w:val="ListNumber"/>
      </w:pPr>
      <w:r>
        <w:t>媒体传播口径与新闻通稿提纲</w:t>
      </w:r>
    </w:p>
    <w:p/>
    <w:p>
      <w:r/>
    </w:p>
    <w:p/>
    <w:p>
      <w:r>
        <w:t>—— 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