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experienced a Distributed Denial of Service (DDoS) attack that overwhelmed the internal network with a flood of ICMP packets, causing network services to become unavailable for approximately two hours. The attack was made possible by an improperly configured firewall that allowed excessive ICMP traffic into the network. During the incident, employees were unable to access internal network resources. The incident response team contained the attack by blocking incoming ICMP packets, taking non-critical services offline, and restoring critical services. The investigation determined that the attack originated from a malicious external actor using spoofed IP addresses to generate the ICMP flood.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incident was identified as a Distributed Denial of Service (DDoS) attack using ICMP flood traffic. The attack targeted the organization's internal network infrastructure and disrupted network availability. The affected systems included internal network services, firewall configuration, and employee access to network resources. The investigation revealed that the firewall lacked proper rules to restrict incoming ICMP traffic, allowing the attacker to overwhelm the network.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reduce the likelihood of future attacks, the organization should strengthen firewall configurations by implementing rate limiting for ICMP traffic and enabling source IP address verification to prevent IP spoofing. Network segmentation should be reviewed to limit the impact of future attacks, and firewall rules should be audited regularly. Security awareness training should also be provided to ensure administrators maintain secure firewall configurations and follow security best practices.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should deploy continuous network monitoring using Security Information and Event Management (SIEM) tools, Intrusion Detection Systems (IDS), and Intrusion Prevention Systems (IPS). Firewall logs should be monitored for abnormal ICMP traffic and unusual network activity. Automated alerts should notify the security team whenever traffic exceeds normal thresholds or suspicious patterns are detected.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incidents should be handled through an established incident response plan. The security team should immediately isolate affected systems, block malicious traffic, preserve relevant log files, and notify management. Firewall rules should be updated to mitigate the attack while maintaining essential services. After containment, the incident should be analyzed to determine the root cause and identify opportunities to improve security controls and response procedures.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Following containment of the attack, network services should be restored in a controlled manner while verifying that systems are operating normally. Firewall configurations should be reviewed, security controls validated, and system performance monitored to ensure the attack has been fully mitigated. A post-incident review should be conducted to document lessons learned and improve the organization's recovery and incident response processes.</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This activity strengthened my understanding of the NIST Cybersecurity Framework and demonstrated how each of its five core functions—Identify, Protect, Detect, Respond, and Recover—can be applied to a real-world cybersecurity incident. It also reinforced the importance of layered security controls, continuous monitoring, and incident response planning for defending organizational networks. </w:t>
            </w:r>
            <w:r w:rsidDel="00000000" w:rsidR="00000000" w:rsidRPr="00000000">
              <w:rPr>
                <w:rtl w:val="0"/>
              </w:rPr>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