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Algoritmos de Coloreo</w:t>
      </w:r>
    </w:p>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Análisis de Comportamiento</w:t>
      </w:r>
    </w:p>
    <w:p w:rsidR="004B465F" w:rsidRDefault="004B465F" w:rsidP="004B465F">
      <w:pPr>
        <w:spacing w:after="0"/>
        <w:rPr>
          <w:b/>
          <w:u w:val="single"/>
        </w:rPr>
      </w:pPr>
    </w:p>
    <w:p w:rsidR="004B465F" w:rsidRDefault="004B465F" w:rsidP="004B465F">
      <w:pPr>
        <w:spacing w:after="0"/>
        <w:rPr>
          <w:b/>
          <w:u w:val="single"/>
        </w:rPr>
      </w:pPr>
    </w:p>
    <w:p w:rsidR="004B465F" w:rsidRPr="002864F9" w:rsidRDefault="004B465F" w:rsidP="004B465F">
      <w:pPr>
        <w:spacing w:after="0"/>
        <w:rPr>
          <w:b/>
          <w:u w:val="single"/>
        </w:rPr>
      </w:pPr>
      <w:r w:rsidRPr="00793C85">
        <w:rPr>
          <w:b/>
          <w:u w:val="single"/>
        </w:rPr>
        <w:t>Grafos Aleatorios</w:t>
      </w:r>
      <w:r>
        <w:rPr>
          <w:b/>
          <w:u w:val="single"/>
        </w:rPr>
        <w:t>:</w:t>
      </w:r>
    </w:p>
    <w:p w:rsidR="004B465F" w:rsidRDefault="004B465F" w:rsidP="004B465F">
      <w:pPr>
        <w:spacing w:after="0"/>
        <w:jc w:val="both"/>
      </w:pPr>
      <w:r>
        <w:t>Se generaron tres grafos aleatorios de 600 nodos cada uno, con 40%, 60% y 90% de adyacencia respectivamente.</w:t>
      </w:r>
    </w:p>
    <w:p w:rsidR="004B465F" w:rsidRDefault="004B465F" w:rsidP="004B465F">
      <w:pPr>
        <w:spacing w:after="0"/>
        <w:jc w:val="both"/>
      </w:pPr>
      <w:r>
        <w:t>A partir de estos grafos, se realizaron de 10.000 ejecuciones (para cada grafo), de los tres algoritmos de coloreo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jc w:val="both"/>
      </w:pPr>
    </w:p>
    <w:p w:rsidR="004B465F" w:rsidRDefault="004B465F" w:rsidP="004B465F">
      <w:pPr>
        <w:spacing w:after="0"/>
        <w:jc w:val="center"/>
        <w:rPr>
          <w:b/>
        </w:rPr>
      </w:pPr>
      <w:r>
        <w:rPr>
          <w:noProof/>
          <w:lang w:val="es-AR" w:eastAsia="es-AR"/>
        </w:rPr>
        <w:drawing>
          <wp:inline distT="0" distB="0" distL="0" distR="0" wp14:anchorId="0C32FCD9" wp14:editId="2BC3789E">
            <wp:extent cx="4572000" cy="2486025"/>
            <wp:effectExtent l="0" t="0" r="0" b="9525"/>
            <wp:docPr id="1" name="Gráfico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465F" w:rsidRDefault="004B465F" w:rsidP="004B465F">
      <w:pPr>
        <w:spacing w:after="0"/>
        <w:jc w:val="center"/>
        <w:rPr>
          <w:b/>
        </w:rPr>
      </w:pPr>
    </w:p>
    <w:tbl>
      <w:tblPr>
        <w:tblStyle w:val="Tabladelista2-nfasis2"/>
        <w:tblpPr w:leftFromText="141" w:rightFromText="141" w:vertAnchor="text" w:horzAnchor="margin" w:tblpXSpec="center" w:tblpY="67"/>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3554"/>
        <w:gridCol w:w="1726"/>
      </w:tblGrid>
      <w:tr w:rsidR="004B465F" w:rsidRPr="009327A5" w:rsidTr="006A7E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val="restart"/>
            <w:noWrap/>
            <w:hideMark/>
          </w:tcPr>
          <w:p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noWrap/>
            <w:hideMark/>
          </w:tcPr>
          <w:p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40% de Adyacencia</w:t>
            </w:r>
          </w:p>
        </w:tc>
      </w:tr>
      <w:tr w:rsidR="004B465F" w:rsidRPr="009327A5"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hideMark/>
          </w:tcPr>
          <w:p w:rsidR="004B465F" w:rsidRPr="009327A5" w:rsidRDefault="004B465F" w:rsidP="000D2024">
            <w:pPr>
              <w:rPr>
                <w:rFonts w:ascii="Calibri" w:eastAsia="Times New Roman" w:hAnsi="Calibri" w:cs="Calibri"/>
                <w:color w:val="000000"/>
                <w:lang w:eastAsia="es-ES"/>
              </w:rPr>
            </w:pPr>
          </w:p>
        </w:tc>
        <w:tc>
          <w:tcPr>
            <w:tcW w:w="3554" w:type="dxa"/>
            <w:noWrap/>
            <w:hideMark/>
          </w:tcPr>
          <w:p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noWrap/>
            <w:hideMark/>
          </w:tcPr>
          <w:p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N.º de Corrida</w:t>
            </w:r>
          </w:p>
        </w:tc>
      </w:tr>
      <w:tr w:rsidR="002824C3" w:rsidRPr="009327A5"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rsidR="002824C3" w:rsidRPr="009327A5"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62</w:t>
            </w:r>
          </w:p>
        </w:tc>
        <w:tc>
          <w:tcPr>
            <w:tcW w:w="1726" w:type="dxa"/>
            <w:noWrap/>
            <w:hideMark/>
          </w:tcPr>
          <w:p w:rsidR="002824C3"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AR"/>
              </w:rPr>
            </w:pPr>
            <w:r>
              <w:rPr>
                <w:rFonts w:ascii="Calibri" w:hAnsi="Calibri" w:cs="Calibri"/>
                <w:color w:val="000000"/>
              </w:rPr>
              <w:t>704</w:t>
            </w:r>
          </w:p>
        </w:tc>
      </w:tr>
      <w:tr w:rsidR="002824C3" w:rsidRPr="009327A5"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Wellsh Powell</w:t>
            </w:r>
          </w:p>
        </w:tc>
        <w:tc>
          <w:tcPr>
            <w:tcW w:w="3554" w:type="dxa"/>
            <w:noWrap/>
            <w:hideMark/>
          </w:tcPr>
          <w:p w:rsidR="002824C3" w:rsidRPr="009327A5" w:rsidRDefault="002824C3" w:rsidP="002824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61</w:t>
            </w:r>
          </w:p>
        </w:tc>
        <w:tc>
          <w:tcPr>
            <w:tcW w:w="1726" w:type="dxa"/>
            <w:noWrap/>
            <w:hideMark/>
          </w:tcPr>
          <w:p w:rsidR="002824C3" w:rsidRDefault="002824C3" w:rsidP="00282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994</w:t>
            </w:r>
          </w:p>
        </w:tc>
      </w:tr>
      <w:tr w:rsidR="002824C3" w:rsidRPr="009327A5"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Matula</w:t>
            </w:r>
          </w:p>
        </w:tc>
        <w:tc>
          <w:tcPr>
            <w:tcW w:w="3554" w:type="dxa"/>
            <w:noWrap/>
            <w:hideMark/>
          </w:tcPr>
          <w:p w:rsidR="002824C3" w:rsidRPr="009327A5"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65</w:t>
            </w:r>
          </w:p>
        </w:tc>
        <w:tc>
          <w:tcPr>
            <w:tcW w:w="1726" w:type="dxa"/>
            <w:noWrap/>
            <w:hideMark/>
          </w:tcPr>
          <w:p w:rsidR="002824C3" w:rsidRDefault="002824C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1063</w:t>
            </w:r>
          </w:p>
        </w:tc>
      </w:tr>
    </w:tbl>
    <w:p w:rsidR="004B465F" w:rsidRDefault="004B465F" w:rsidP="004B465F">
      <w:pPr>
        <w:spacing w:after="0"/>
        <w:jc w:val="center"/>
        <w:rPr>
          <w:b/>
        </w:rPr>
      </w:pPr>
    </w:p>
    <w:p w:rsidR="004B465F" w:rsidRDefault="00491BAC" w:rsidP="004B465F">
      <w:pPr>
        <w:spacing w:after="0"/>
        <w:jc w:val="center"/>
        <w:rPr>
          <w:b/>
        </w:rPr>
      </w:pPr>
      <w:r>
        <w:rPr>
          <w:noProof/>
          <w:lang w:val="es-AR" w:eastAsia="es-AR"/>
        </w:rPr>
        <w:lastRenderedPageBreak/>
        <w:drawing>
          <wp:inline distT="0" distB="0" distL="0" distR="0" wp14:anchorId="5BFC0364" wp14:editId="5D275975">
            <wp:extent cx="5400040" cy="3558540"/>
            <wp:effectExtent l="0" t="0" r="10160" b="3810"/>
            <wp:docPr id="5" name="Gráfico 5">
              <a:extLst xmlns:a="http://schemas.openxmlformats.org/drawingml/2006/main">
                <a:ext uri="{FF2B5EF4-FFF2-40B4-BE49-F238E27FC236}">
                  <a16:creationId xmlns:a16="http://schemas.microsoft.com/office/drawing/2014/main" id="{E65A5B5C-A8C5-4D62-926C-FF71615AF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465F" w:rsidRDefault="004B465F" w:rsidP="004B465F">
      <w:pPr>
        <w:spacing w:after="0"/>
        <w:jc w:val="center"/>
        <w:rPr>
          <w:b/>
        </w:rPr>
      </w:pPr>
    </w:p>
    <w:tbl>
      <w:tblPr>
        <w:tblStyle w:val="Tabladelista2-nfasis2"/>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3554"/>
        <w:gridCol w:w="1964"/>
      </w:tblGrid>
      <w:tr w:rsidR="004B465F" w:rsidRPr="00BB44AA" w:rsidTr="00BB44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val="restart"/>
            <w:noWrap/>
            <w:hideMark/>
          </w:tcPr>
          <w:p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518" w:type="dxa"/>
            <w:gridSpan w:val="2"/>
            <w:noWrap/>
            <w:hideMark/>
          </w:tcPr>
          <w:p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60% de Adyacencia</w:t>
            </w:r>
          </w:p>
        </w:tc>
      </w:tr>
      <w:tr w:rsidR="004B465F" w:rsidRPr="009327A5"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hideMark/>
          </w:tcPr>
          <w:p w:rsidR="004B465F" w:rsidRPr="009327A5" w:rsidRDefault="004B465F" w:rsidP="00BB44AA">
            <w:pPr>
              <w:jc w:val="center"/>
              <w:rPr>
                <w:rFonts w:ascii="Calibri" w:eastAsia="Times New Roman" w:hAnsi="Calibri" w:cs="Calibri"/>
                <w:color w:val="000000"/>
                <w:lang w:eastAsia="es-ES"/>
              </w:rPr>
            </w:pPr>
          </w:p>
        </w:tc>
        <w:tc>
          <w:tcPr>
            <w:tcW w:w="3554" w:type="dxa"/>
            <w:noWrap/>
            <w:hideMark/>
          </w:tcPr>
          <w:p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Cantidad de Colores Mínima</w:t>
            </w:r>
          </w:p>
        </w:tc>
        <w:tc>
          <w:tcPr>
            <w:tcW w:w="1964" w:type="dxa"/>
            <w:noWrap/>
            <w:hideMark/>
          </w:tcPr>
          <w:p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Nº de Corrida</w:t>
            </w:r>
          </w:p>
        </w:tc>
      </w:tr>
      <w:tr w:rsidR="004B465F" w:rsidRPr="009327A5"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rsidR="004B465F" w:rsidRPr="00BB44AA"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98</w:t>
            </w:r>
          </w:p>
        </w:tc>
        <w:tc>
          <w:tcPr>
            <w:tcW w:w="1964" w:type="dxa"/>
            <w:noWrap/>
            <w:hideMark/>
          </w:tcPr>
          <w:p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17</w:t>
            </w:r>
          </w:p>
        </w:tc>
      </w:tr>
      <w:tr w:rsidR="004B465F" w:rsidRPr="009327A5"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proofErr w:type="spellStart"/>
            <w:r w:rsidRPr="009327A5">
              <w:rPr>
                <w:rFonts w:ascii="Calibri" w:eastAsia="Times New Roman" w:hAnsi="Calibri" w:cs="Calibri"/>
                <w:color w:val="000000"/>
                <w:lang w:eastAsia="es-ES"/>
              </w:rPr>
              <w:t>Wellsh</w:t>
            </w:r>
            <w:proofErr w:type="spellEnd"/>
            <w:r w:rsidRPr="009327A5">
              <w:rPr>
                <w:rFonts w:ascii="Calibri" w:eastAsia="Times New Roman" w:hAnsi="Calibri" w:cs="Calibri"/>
                <w:color w:val="000000"/>
                <w:lang w:eastAsia="es-ES"/>
              </w:rPr>
              <w:t xml:space="preserve"> Powell</w:t>
            </w:r>
          </w:p>
        </w:tc>
        <w:tc>
          <w:tcPr>
            <w:tcW w:w="3554" w:type="dxa"/>
            <w:noWrap/>
            <w:hideMark/>
          </w:tcPr>
          <w:p w:rsidR="004B465F" w:rsidRPr="00BB44AA" w:rsidRDefault="004B465F" w:rsidP="00491B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w:t>
            </w:r>
            <w:r w:rsidR="00491BAC">
              <w:rPr>
                <w:rFonts w:ascii="Calibri" w:eastAsia="Times New Roman" w:hAnsi="Calibri" w:cs="Calibri"/>
                <w:b/>
                <w:bCs/>
                <w:color w:val="000000"/>
                <w:lang w:eastAsia="es-ES"/>
              </w:rPr>
              <w:t>5</w:t>
            </w:r>
          </w:p>
        </w:tc>
        <w:tc>
          <w:tcPr>
            <w:tcW w:w="1964" w:type="dxa"/>
            <w:noWrap/>
            <w:hideMark/>
          </w:tcPr>
          <w:p w:rsidR="004B465F" w:rsidRPr="009327A5"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441</w:t>
            </w:r>
          </w:p>
        </w:tc>
      </w:tr>
      <w:tr w:rsidR="004B465F" w:rsidRPr="009327A5"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Matula</w:t>
            </w:r>
          </w:p>
        </w:tc>
        <w:tc>
          <w:tcPr>
            <w:tcW w:w="3554" w:type="dxa"/>
            <w:noWrap/>
            <w:hideMark/>
          </w:tcPr>
          <w:p w:rsidR="004B465F" w:rsidRPr="00BB44AA" w:rsidRDefault="00491BAC"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b/>
                <w:bCs/>
                <w:color w:val="000000"/>
                <w:lang w:eastAsia="es-ES"/>
              </w:rPr>
              <w:t>102</w:t>
            </w:r>
          </w:p>
        </w:tc>
        <w:tc>
          <w:tcPr>
            <w:tcW w:w="1964" w:type="dxa"/>
            <w:noWrap/>
            <w:hideMark/>
          </w:tcPr>
          <w:p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7999</w:t>
            </w:r>
          </w:p>
        </w:tc>
      </w:tr>
    </w:tbl>
    <w:p w:rsidR="004B465F" w:rsidRDefault="004B465F" w:rsidP="004B465F">
      <w:pPr>
        <w:spacing w:after="0"/>
        <w:jc w:val="center"/>
        <w:rPr>
          <w:b/>
        </w:rPr>
      </w:pPr>
    </w:p>
    <w:p w:rsidR="004B465F" w:rsidRDefault="004B465F" w:rsidP="004B465F">
      <w:pPr>
        <w:spacing w:after="0"/>
        <w:rPr>
          <w:b/>
        </w:rPr>
      </w:pPr>
      <w:r>
        <w:rPr>
          <w:b/>
        </w:rPr>
        <w:tab/>
      </w:r>
    </w:p>
    <w:p w:rsidR="004B465F" w:rsidRDefault="00C120A5" w:rsidP="004B465F">
      <w:pPr>
        <w:spacing w:after="0"/>
        <w:rPr>
          <w:b/>
        </w:rPr>
      </w:pPr>
      <w:r>
        <w:rPr>
          <w:noProof/>
          <w:lang w:val="es-AR" w:eastAsia="es-AR"/>
        </w:rPr>
        <w:drawing>
          <wp:inline distT="0" distB="0" distL="0" distR="0" wp14:anchorId="7316FAC8" wp14:editId="62F0143C">
            <wp:extent cx="4905375" cy="3429000"/>
            <wp:effectExtent l="0" t="0" r="9525" b="0"/>
            <wp:docPr id="8" name="Gráfico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465F" w:rsidRDefault="004B465F" w:rsidP="004B465F">
      <w:pPr>
        <w:spacing w:after="0"/>
        <w:rPr>
          <w:b/>
        </w:rPr>
      </w:pPr>
    </w:p>
    <w:tbl>
      <w:tblPr>
        <w:tblStyle w:val="Tabladelista2-nfasis2"/>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331"/>
        <w:gridCol w:w="2339"/>
      </w:tblGrid>
      <w:tr w:rsidR="004B465F" w:rsidRPr="00A15CD2" w:rsidTr="004D5D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color w:val="000000"/>
                <w:lang w:eastAsia="es-ES"/>
              </w:rPr>
            </w:pPr>
            <w:r w:rsidRPr="00A15CD2">
              <w:rPr>
                <w:rFonts w:ascii="Calibri" w:eastAsia="Times New Roman" w:hAnsi="Calibri" w:cs="Calibri"/>
                <w:color w:val="000000"/>
                <w:lang w:eastAsia="es-ES"/>
              </w:rPr>
              <w:lastRenderedPageBreak/>
              <w:t>Algoritmo</w:t>
            </w:r>
          </w:p>
        </w:tc>
        <w:tc>
          <w:tcPr>
            <w:tcW w:w="5670" w:type="dxa"/>
            <w:gridSpan w:val="2"/>
            <w:noWrap/>
            <w:hideMark/>
          </w:tcPr>
          <w:p w:rsidR="004B465F" w:rsidRPr="00A15CD2"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Grafo Aleatorio 90% de Adyacencia</w:t>
            </w:r>
          </w:p>
        </w:tc>
      </w:tr>
      <w:tr w:rsidR="004B465F" w:rsidRPr="00A15CD2"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hideMark/>
          </w:tcPr>
          <w:p w:rsidR="004B465F" w:rsidRPr="00A15CD2" w:rsidRDefault="004B465F" w:rsidP="000D2024">
            <w:pPr>
              <w:rPr>
                <w:rFonts w:ascii="Calibri" w:eastAsia="Times New Roman" w:hAnsi="Calibri" w:cs="Calibri"/>
                <w:color w:val="000000"/>
                <w:lang w:eastAsia="es-ES"/>
              </w:rPr>
            </w:pPr>
          </w:p>
        </w:tc>
        <w:tc>
          <w:tcPr>
            <w:tcW w:w="3331" w:type="dxa"/>
            <w:noWrap/>
            <w:hideMark/>
          </w:tcPr>
          <w:p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Cantidad de Colores Mínima</w:t>
            </w:r>
          </w:p>
        </w:tc>
        <w:tc>
          <w:tcPr>
            <w:tcW w:w="2339" w:type="dxa"/>
            <w:noWrap/>
            <w:hideMark/>
          </w:tcPr>
          <w:p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Nº de Corrida</w:t>
            </w:r>
          </w:p>
        </w:tc>
      </w:tr>
      <w:tr w:rsidR="004B465F" w:rsidRPr="00A15CD2"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Secuencial Aleatorio</w:t>
            </w:r>
          </w:p>
        </w:tc>
        <w:tc>
          <w:tcPr>
            <w:tcW w:w="3331" w:type="dxa"/>
            <w:noWrap/>
            <w:hideMark/>
          </w:tcPr>
          <w:p w:rsidR="004B465F" w:rsidRPr="00A15CD2" w:rsidRDefault="00C120A5"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193</w:t>
            </w:r>
          </w:p>
        </w:tc>
        <w:tc>
          <w:tcPr>
            <w:tcW w:w="2339" w:type="dxa"/>
            <w:noWrap/>
            <w:hideMark/>
          </w:tcPr>
          <w:p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704</w:t>
            </w:r>
          </w:p>
        </w:tc>
      </w:tr>
      <w:tr w:rsidR="004B465F" w:rsidRPr="00A15CD2"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proofErr w:type="spellStart"/>
            <w:r w:rsidRPr="00A15CD2">
              <w:rPr>
                <w:rFonts w:ascii="Calibri" w:eastAsia="Times New Roman" w:hAnsi="Calibri" w:cs="Calibri"/>
                <w:color w:val="000000"/>
                <w:lang w:eastAsia="es-ES"/>
              </w:rPr>
              <w:t>Wellsh</w:t>
            </w:r>
            <w:proofErr w:type="spellEnd"/>
            <w:r w:rsidRPr="00A15CD2">
              <w:rPr>
                <w:rFonts w:ascii="Calibri" w:eastAsia="Times New Roman" w:hAnsi="Calibri" w:cs="Calibri"/>
                <w:color w:val="000000"/>
                <w:lang w:eastAsia="es-ES"/>
              </w:rPr>
              <w:t xml:space="preserve"> Powell</w:t>
            </w:r>
          </w:p>
        </w:tc>
        <w:tc>
          <w:tcPr>
            <w:tcW w:w="3331" w:type="dxa"/>
            <w:noWrap/>
            <w:hideMark/>
          </w:tcPr>
          <w:p w:rsidR="004B465F" w:rsidRPr="00A15CD2" w:rsidRDefault="004B465F" w:rsidP="00C120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1</w:t>
            </w:r>
            <w:r w:rsidR="00C120A5">
              <w:rPr>
                <w:rFonts w:ascii="Calibri" w:eastAsia="Times New Roman" w:hAnsi="Calibri" w:cs="Calibri"/>
                <w:b/>
                <w:bCs/>
                <w:color w:val="000000"/>
                <w:lang w:eastAsia="es-ES"/>
              </w:rPr>
              <w:t>91</w:t>
            </w:r>
          </w:p>
        </w:tc>
        <w:tc>
          <w:tcPr>
            <w:tcW w:w="2339" w:type="dxa"/>
            <w:noWrap/>
            <w:hideMark/>
          </w:tcPr>
          <w:p w:rsidR="004B465F" w:rsidRPr="00A15CD2"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994</w:t>
            </w:r>
          </w:p>
        </w:tc>
      </w:tr>
      <w:tr w:rsidR="004B465F" w:rsidRPr="00A15CD2"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Matula</w:t>
            </w:r>
          </w:p>
        </w:tc>
        <w:tc>
          <w:tcPr>
            <w:tcW w:w="3331" w:type="dxa"/>
            <w:noWrap/>
            <w:hideMark/>
          </w:tcPr>
          <w:p w:rsidR="004B465F" w:rsidRPr="00A15CD2" w:rsidRDefault="00C120A5"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20</w:t>
            </w:r>
            <w:r w:rsidR="004B465F" w:rsidRPr="00A15CD2">
              <w:rPr>
                <w:rFonts w:ascii="Calibri" w:eastAsia="Times New Roman" w:hAnsi="Calibri" w:cs="Calibri"/>
                <w:b/>
                <w:bCs/>
                <w:color w:val="000000"/>
                <w:lang w:eastAsia="es-ES"/>
              </w:rPr>
              <w:t>7</w:t>
            </w:r>
          </w:p>
        </w:tc>
        <w:tc>
          <w:tcPr>
            <w:tcW w:w="2339" w:type="dxa"/>
            <w:noWrap/>
            <w:hideMark/>
          </w:tcPr>
          <w:p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1063</w:t>
            </w:r>
          </w:p>
        </w:tc>
      </w:tr>
    </w:tbl>
    <w:p w:rsidR="004B465F" w:rsidRDefault="004B465F" w:rsidP="004D5DE3">
      <w:pPr>
        <w:spacing w:after="0"/>
        <w:ind w:left="708"/>
        <w:rPr>
          <w:b/>
        </w:rPr>
      </w:pPr>
      <w:bookmarkStart w:id="0" w:name="_GoBack"/>
      <w:bookmarkEnd w:id="0"/>
    </w:p>
    <w:p w:rsidR="004B465F" w:rsidRDefault="004B465F" w:rsidP="004B465F">
      <w:pPr>
        <w:spacing w:after="0"/>
        <w:rPr>
          <w:b/>
        </w:rPr>
      </w:pPr>
    </w:p>
    <w:p w:rsidR="004B465F" w:rsidRDefault="004B465F" w:rsidP="004B465F">
      <w:pPr>
        <w:spacing w:after="0"/>
        <w:rPr>
          <w:b/>
        </w:rPr>
      </w:pPr>
    </w:p>
    <w:p w:rsidR="004B465F" w:rsidRDefault="004B465F" w:rsidP="004B465F">
      <w:pPr>
        <w:spacing w:after="0"/>
        <w:rPr>
          <w:b/>
          <w:u w:val="single"/>
        </w:rPr>
      </w:pPr>
      <w:r w:rsidRPr="00793C85">
        <w:rPr>
          <w:b/>
          <w:u w:val="single"/>
        </w:rPr>
        <w:t xml:space="preserve">Grafos </w:t>
      </w:r>
      <w:r>
        <w:rPr>
          <w:b/>
          <w:u w:val="single"/>
        </w:rPr>
        <w:t>Regulares:</w:t>
      </w:r>
    </w:p>
    <w:p w:rsidR="004B465F" w:rsidRPr="005A494A" w:rsidRDefault="004B465F" w:rsidP="004B465F">
      <w:pPr>
        <w:spacing w:after="0"/>
        <w:jc w:val="both"/>
      </w:pPr>
      <w:r>
        <w:t>Al tratarse de grafos regulares, esto quiere decir que todos los nodos poseen el mismo grado, por este motivo, no importa el algoritmo de coloreo utilizado ya que no podrá ser posible ordenar por grado antes de colorear, por lo que se utiliza solamente el algoritmo secuencial aleatorio.</w:t>
      </w:r>
    </w:p>
    <w:p w:rsidR="004B465F" w:rsidRDefault="004B465F" w:rsidP="004B465F">
      <w:pPr>
        <w:spacing w:after="0"/>
        <w:jc w:val="both"/>
      </w:pPr>
      <w:r>
        <w:t>A partir de estos grafos, se realizaron de 10.000 ejecuciones (para cada grafo), coloreándolo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drawing>
          <wp:inline distT="0" distB="0" distL="0" distR="0" wp14:anchorId="5DDDEE48" wp14:editId="260B199F">
            <wp:extent cx="5334000" cy="2752725"/>
            <wp:effectExtent l="0" t="0" r="0" b="0"/>
            <wp:docPr id="6" name="Chart 6">
              <a:extLst xmlns:a="http://schemas.openxmlformats.org/drawingml/2006/main">
                <a:ext uri="{FF2B5EF4-FFF2-40B4-BE49-F238E27FC236}">
                  <a16:creationId xmlns:a16="http://schemas.microsoft.com/office/drawing/2014/main" id="{54BFB8F9-E48E-4EFE-8740-40B083B31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465F" w:rsidRDefault="004B465F" w:rsidP="004B465F">
      <w:pPr>
        <w:spacing w:after="0"/>
      </w:pPr>
    </w:p>
    <w:tbl>
      <w:tblPr>
        <w:tblW w:w="8222" w:type="dxa"/>
        <w:tblInd w:w="70" w:type="dxa"/>
        <w:tblCellMar>
          <w:left w:w="70" w:type="dxa"/>
          <w:right w:w="70" w:type="dxa"/>
        </w:tblCellMar>
        <w:tblLook w:val="04A0" w:firstRow="1" w:lastRow="0" w:firstColumn="1" w:lastColumn="0" w:noHBand="0" w:noVBand="1"/>
      </w:tblPr>
      <w:tblGrid>
        <w:gridCol w:w="2040"/>
        <w:gridCol w:w="3554"/>
        <w:gridCol w:w="2628"/>
      </w:tblGrid>
      <w:tr w:rsidR="004B465F" w:rsidRPr="008A5B6C" w:rsidTr="000D2024">
        <w:trPr>
          <w:trHeight w:val="300"/>
        </w:trPr>
        <w:tc>
          <w:tcPr>
            <w:tcW w:w="2040" w:type="dxa"/>
            <w:vMerge w:val="restart"/>
            <w:tcBorders>
              <w:top w:val="single" w:sz="4" w:space="0" w:color="auto"/>
              <w:left w:val="nil"/>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6182"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50% de Adyacencia</w:t>
            </w:r>
          </w:p>
        </w:tc>
      </w:tr>
      <w:tr w:rsidR="004B465F" w:rsidRPr="008A5B6C" w:rsidTr="000D2024">
        <w:trPr>
          <w:trHeight w:val="300"/>
        </w:trPr>
        <w:tc>
          <w:tcPr>
            <w:tcW w:w="2040" w:type="dxa"/>
            <w:vMerge/>
            <w:tcBorders>
              <w:top w:val="single" w:sz="4" w:space="0" w:color="auto"/>
              <w:left w:val="nil"/>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628"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334</w:t>
            </w:r>
          </w:p>
        </w:tc>
        <w:tc>
          <w:tcPr>
            <w:tcW w:w="2628"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172</w:t>
            </w:r>
          </w:p>
        </w:tc>
      </w:tr>
    </w:tbl>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lastRenderedPageBreak/>
        <w:drawing>
          <wp:inline distT="0" distB="0" distL="0" distR="0" wp14:anchorId="12E2BDF5" wp14:editId="1F9E27A3">
            <wp:extent cx="5200650" cy="2743200"/>
            <wp:effectExtent l="0" t="0" r="0" b="0"/>
            <wp:docPr id="7" name="Chart 7">
              <a:extLst xmlns:a="http://schemas.openxmlformats.org/drawingml/2006/main">
                <a:ext uri="{FF2B5EF4-FFF2-40B4-BE49-F238E27FC236}">
                  <a16:creationId xmlns:a16="http://schemas.microsoft.com/office/drawing/2014/main" id="{3211A27F-A097-4709-A707-0CA99BC48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465F" w:rsidRDefault="004B465F" w:rsidP="004B465F">
      <w:pPr>
        <w:spacing w:after="0"/>
      </w:pPr>
    </w:p>
    <w:tbl>
      <w:tblPr>
        <w:tblW w:w="7933" w:type="dxa"/>
        <w:tblInd w:w="75" w:type="dxa"/>
        <w:tblCellMar>
          <w:left w:w="70" w:type="dxa"/>
          <w:right w:w="70" w:type="dxa"/>
        </w:tblCellMar>
        <w:tblLook w:val="04A0" w:firstRow="1" w:lastRow="0" w:firstColumn="1" w:lastColumn="0" w:noHBand="0" w:noVBand="1"/>
      </w:tblPr>
      <w:tblGrid>
        <w:gridCol w:w="2040"/>
        <w:gridCol w:w="3554"/>
        <w:gridCol w:w="2339"/>
      </w:tblGrid>
      <w:tr w:rsidR="004B465F" w:rsidRPr="008A5B6C" w:rsidTr="000D202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5893"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75% de Adyacencia</w:t>
            </w:r>
          </w:p>
        </w:tc>
      </w:tr>
      <w:tr w:rsidR="004B465F" w:rsidRPr="008A5B6C" w:rsidTr="000D202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339"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500</w:t>
            </w:r>
          </w:p>
        </w:tc>
        <w:tc>
          <w:tcPr>
            <w:tcW w:w="2339"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10</w:t>
            </w:r>
          </w:p>
        </w:tc>
      </w:tr>
    </w:tbl>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Pr="00E20F71" w:rsidRDefault="004B465F" w:rsidP="004B465F">
      <w:pPr>
        <w:spacing w:after="0"/>
        <w:rPr>
          <w:lang w:val="en-US"/>
        </w:rPr>
      </w:pPr>
    </w:p>
    <w:p w:rsidR="00F762AA" w:rsidRPr="004B465F" w:rsidRDefault="00F762AA" w:rsidP="004B465F"/>
    <w:sectPr w:rsidR="00F762AA" w:rsidRPr="004B465F" w:rsidSect="00F73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D4"/>
    <w:rsid w:val="002824C3"/>
    <w:rsid w:val="00474FD4"/>
    <w:rsid w:val="00491BAC"/>
    <w:rsid w:val="004B465F"/>
    <w:rsid w:val="004D5DE3"/>
    <w:rsid w:val="006A7ECA"/>
    <w:rsid w:val="00792503"/>
    <w:rsid w:val="00BB44AA"/>
    <w:rsid w:val="00C120A5"/>
    <w:rsid w:val="00CF5153"/>
    <w:rsid w:val="00F762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BA57F-4ED9-4A3F-8922-3F748B2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5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6A7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A7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5">
    <w:name w:val="Grid Table 5 Dark Accent 5"/>
    <w:basedOn w:val="Tabla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7concolores">
    <w:name w:val="Grid Table 7 Colorful"/>
    <w:basedOn w:val="Tablanormal"/>
    <w:uiPriority w:val="52"/>
    <w:rsid w:val="006A7E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5oscura-nfasis5">
    <w:name w:val="List Table 5 Dark Accent 5"/>
    <w:basedOn w:val="Tablanormal"/>
    <w:uiPriority w:val="50"/>
    <w:rsid w:val="006A7ECA"/>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2-nfasis2">
    <w:name w:val="List Table 2 Accent 2"/>
    <w:basedOn w:val="Tablanormal"/>
    <w:uiPriority w:val="47"/>
    <w:rsid w:val="006A7EC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40%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porcentajes'!$B$2</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porcentajes'!$B$3:$B$15</c:f>
              <c:numCache>
                <c:formatCode>General</c:formatCode>
                <c:ptCount val="13"/>
                <c:pt idx="0">
                  <c:v>0</c:v>
                </c:pt>
                <c:pt idx="1">
                  <c:v>1</c:v>
                </c:pt>
                <c:pt idx="2">
                  <c:v>12</c:v>
                </c:pt>
                <c:pt idx="3">
                  <c:v>154</c:v>
                </c:pt>
                <c:pt idx="4">
                  <c:v>965</c:v>
                </c:pt>
                <c:pt idx="5">
                  <c:v>2778</c:v>
                </c:pt>
                <c:pt idx="6">
                  <c:v>3522</c:v>
                </c:pt>
                <c:pt idx="7">
                  <c:v>2024</c:v>
                </c:pt>
                <c:pt idx="8">
                  <c:v>481</c:v>
                </c:pt>
                <c:pt idx="9">
                  <c:v>57</c:v>
                </c:pt>
                <c:pt idx="10">
                  <c:v>6</c:v>
                </c:pt>
                <c:pt idx="11">
                  <c:v>0</c:v>
                </c:pt>
                <c:pt idx="12">
                  <c:v>0</c:v>
                </c:pt>
              </c:numCache>
            </c:numRef>
          </c:val>
          <c:smooth val="0"/>
          <c:extLst>
            <c:ext xmlns:c16="http://schemas.microsoft.com/office/drawing/2014/chart" uri="{C3380CC4-5D6E-409C-BE32-E72D297353CC}">
              <c16:uniqueId val="{00000000-F13C-429F-A7BE-9FE78D27D2E7}"/>
            </c:ext>
          </c:extLst>
        </c:ser>
        <c:ser>
          <c:idx val="1"/>
          <c:order val="1"/>
          <c:tx>
            <c:strRef>
              <c:f>'\Users\gyl\Downloads\[Graficos.xlsx]Graficos con porcentajes'!$C$2</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porcentajes'!$C$3:$C$15</c:f>
              <c:numCache>
                <c:formatCode>General</c:formatCode>
                <c:ptCount val="13"/>
                <c:pt idx="0">
                  <c:v>63</c:v>
                </c:pt>
                <c:pt idx="1">
                  <c:v>775</c:v>
                </c:pt>
                <c:pt idx="2">
                  <c:v>2967</c:v>
                </c:pt>
                <c:pt idx="3">
                  <c:v>4003</c:v>
                </c:pt>
                <c:pt idx="4">
                  <c:v>1860</c:v>
                </c:pt>
                <c:pt idx="5">
                  <c:v>310</c:v>
                </c:pt>
                <c:pt idx="6">
                  <c:v>22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F13C-429F-A7BE-9FE78D27D2E7}"/>
            </c:ext>
          </c:extLst>
        </c:ser>
        <c:ser>
          <c:idx val="2"/>
          <c:order val="2"/>
          <c:tx>
            <c:strRef>
              <c:f>'\Users\gyl\Downloads\[Graficos.xlsx]Graficos con porcentajes'!$D$2</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porcentajes'!$A$3:$A$15</c:f>
              <c:numCache>
                <c:formatCode>General</c:formatCode>
                <c:ptCount val="13"/>
                <c:pt idx="0">
                  <c:v>61</c:v>
                </c:pt>
                <c:pt idx="1">
                  <c:v>62</c:v>
                </c:pt>
                <c:pt idx="2">
                  <c:v>63</c:v>
                </c:pt>
                <c:pt idx="3">
                  <c:v>64</c:v>
                </c:pt>
                <c:pt idx="4">
                  <c:v>65</c:v>
                </c:pt>
                <c:pt idx="5">
                  <c:v>66</c:v>
                </c:pt>
                <c:pt idx="6">
                  <c:v>67</c:v>
                </c:pt>
                <c:pt idx="7">
                  <c:v>68</c:v>
                </c:pt>
                <c:pt idx="8">
                  <c:v>69</c:v>
                </c:pt>
                <c:pt idx="9">
                  <c:v>70</c:v>
                </c:pt>
                <c:pt idx="10">
                  <c:v>71</c:v>
                </c:pt>
                <c:pt idx="11">
                  <c:v>72</c:v>
                </c:pt>
                <c:pt idx="12">
                  <c:v>73</c:v>
                </c:pt>
              </c:numCache>
            </c:numRef>
          </c:cat>
          <c:val>
            <c:numRef>
              <c:f>'\Users\gyl\Downloads\[Graficos.xlsx]Graficos con porcentajes'!$D$3:$D$15</c:f>
              <c:numCache>
                <c:formatCode>General</c:formatCode>
                <c:ptCount val="13"/>
                <c:pt idx="0">
                  <c:v>0</c:v>
                </c:pt>
                <c:pt idx="1">
                  <c:v>0</c:v>
                </c:pt>
                <c:pt idx="2">
                  <c:v>0</c:v>
                </c:pt>
                <c:pt idx="3">
                  <c:v>0</c:v>
                </c:pt>
                <c:pt idx="4">
                  <c:v>2</c:v>
                </c:pt>
                <c:pt idx="5">
                  <c:v>44</c:v>
                </c:pt>
                <c:pt idx="6">
                  <c:v>419</c:v>
                </c:pt>
                <c:pt idx="7">
                  <c:v>1903</c:v>
                </c:pt>
                <c:pt idx="8">
                  <c:v>3494</c:v>
                </c:pt>
                <c:pt idx="9">
                  <c:v>2912</c:v>
                </c:pt>
                <c:pt idx="10">
                  <c:v>1006</c:v>
                </c:pt>
                <c:pt idx="11">
                  <c:v>202</c:v>
                </c:pt>
                <c:pt idx="12">
                  <c:v>18</c:v>
                </c:pt>
              </c:numCache>
            </c:numRef>
          </c:val>
          <c:smooth val="0"/>
          <c:extLst>
            <c:ext xmlns:c16="http://schemas.microsoft.com/office/drawing/2014/chart" uri="{C3380CC4-5D6E-409C-BE32-E72D297353CC}">
              <c16:uniqueId val="{00000002-F13C-429F-A7BE-9FE78D27D2E7}"/>
            </c:ext>
          </c:extLst>
        </c:ser>
        <c:dLbls>
          <c:showLegendKey val="0"/>
          <c:showVal val="0"/>
          <c:showCatName val="0"/>
          <c:showSerName val="0"/>
          <c:showPercent val="0"/>
          <c:showBubbleSize val="0"/>
        </c:dLbls>
        <c:smooth val="0"/>
        <c:axId val="543398207"/>
        <c:axId val="543393215"/>
      </c:lineChart>
      <c:catAx>
        <c:axId val="543398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43393215"/>
        <c:crosses val="autoZero"/>
        <c:auto val="1"/>
        <c:lblAlgn val="ctr"/>
        <c:lblOffset val="100"/>
        <c:noMultiLvlLbl val="0"/>
      </c:catAx>
      <c:valAx>
        <c:axId val="54339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4339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60%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porcentajes'!$B$21</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porcentajes'!$B$22:$B$40</c:f>
              <c:numCache>
                <c:formatCode>General</c:formatCode>
                <c:ptCount val="19"/>
                <c:pt idx="0">
                  <c:v>0</c:v>
                </c:pt>
                <c:pt idx="1">
                  <c:v>0</c:v>
                </c:pt>
                <c:pt idx="2">
                  <c:v>0</c:v>
                </c:pt>
                <c:pt idx="3">
                  <c:v>1</c:v>
                </c:pt>
                <c:pt idx="4">
                  <c:v>31</c:v>
                </c:pt>
                <c:pt idx="5">
                  <c:v>205</c:v>
                </c:pt>
                <c:pt idx="6">
                  <c:v>749</c:v>
                </c:pt>
                <c:pt idx="7">
                  <c:v>1718</c:v>
                </c:pt>
                <c:pt idx="8">
                  <c:v>2599</c:v>
                </c:pt>
                <c:pt idx="9">
                  <c:v>2412</c:v>
                </c:pt>
                <c:pt idx="10">
                  <c:v>1481</c:v>
                </c:pt>
                <c:pt idx="11">
                  <c:v>614</c:v>
                </c:pt>
                <c:pt idx="12">
                  <c:v>157</c:v>
                </c:pt>
                <c:pt idx="13">
                  <c:v>26</c:v>
                </c:pt>
                <c:pt idx="14">
                  <c:v>6</c:v>
                </c:pt>
                <c:pt idx="15">
                  <c:v>1</c:v>
                </c:pt>
                <c:pt idx="16">
                  <c:v>0</c:v>
                </c:pt>
                <c:pt idx="17">
                  <c:v>0</c:v>
                </c:pt>
                <c:pt idx="18">
                  <c:v>0</c:v>
                </c:pt>
              </c:numCache>
            </c:numRef>
          </c:val>
          <c:smooth val="0"/>
          <c:extLst>
            <c:ext xmlns:c16="http://schemas.microsoft.com/office/drawing/2014/chart" uri="{C3380CC4-5D6E-409C-BE32-E72D297353CC}">
              <c16:uniqueId val="{00000000-6C44-4588-9B44-77D2BEE42575}"/>
            </c:ext>
          </c:extLst>
        </c:ser>
        <c:ser>
          <c:idx val="1"/>
          <c:order val="1"/>
          <c:tx>
            <c:strRef>
              <c:f>'\Users\gyl\Downloads\[Graficos.xlsx]Graficos con porcentajes'!$C$21</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porcentajes'!$C$22:$C$40</c:f>
              <c:numCache>
                <c:formatCode>General</c:formatCode>
                <c:ptCount val="19"/>
                <c:pt idx="0">
                  <c:v>9</c:v>
                </c:pt>
                <c:pt idx="1">
                  <c:v>57</c:v>
                </c:pt>
                <c:pt idx="2">
                  <c:v>348</c:v>
                </c:pt>
                <c:pt idx="3">
                  <c:v>1165</c:v>
                </c:pt>
                <c:pt idx="4">
                  <c:v>2549</c:v>
                </c:pt>
                <c:pt idx="5">
                  <c:v>2899</c:v>
                </c:pt>
                <c:pt idx="6">
                  <c:v>2014</c:v>
                </c:pt>
                <c:pt idx="7">
                  <c:v>761</c:v>
                </c:pt>
                <c:pt idx="8">
                  <c:v>174</c:v>
                </c:pt>
                <c:pt idx="9">
                  <c:v>21</c:v>
                </c:pt>
                <c:pt idx="10">
                  <c:v>3</c:v>
                </c:pt>
                <c:pt idx="11">
                  <c:v>0</c:v>
                </c:pt>
                <c:pt idx="12">
                  <c:v>0</c:v>
                </c:pt>
                <c:pt idx="13">
                  <c:v>0</c:v>
                </c:pt>
                <c:pt idx="14">
                  <c:v>0</c:v>
                </c:pt>
                <c:pt idx="15">
                  <c:v>0</c:v>
                </c:pt>
                <c:pt idx="16">
                  <c:v>0</c:v>
                </c:pt>
              </c:numCache>
            </c:numRef>
          </c:val>
          <c:smooth val="0"/>
          <c:extLst>
            <c:ext xmlns:c16="http://schemas.microsoft.com/office/drawing/2014/chart" uri="{C3380CC4-5D6E-409C-BE32-E72D297353CC}">
              <c16:uniqueId val="{00000001-6C44-4588-9B44-77D2BEE42575}"/>
            </c:ext>
          </c:extLst>
        </c:ser>
        <c:ser>
          <c:idx val="2"/>
          <c:order val="2"/>
          <c:tx>
            <c:strRef>
              <c:f>'\Users\gyl\Downloads\[Graficos.xlsx]Graficos con porcentajes'!$D$21</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porcentajes'!$D$22:$D$40</c:f>
              <c:numCache>
                <c:formatCode>General</c:formatCode>
                <c:ptCount val="19"/>
                <c:pt idx="0">
                  <c:v>0</c:v>
                </c:pt>
                <c:pt idx="1">
                  <c:v>0</c:v>
                </c:pt>
                <c:pt idx="2">
                  <c:v>0</c:v>
                </c:pt>
                <c:pt idx="3">
                  <c:v>0</c:v>
                </c:pt>
                <c:pt idx="4">
                  <c:v>0</c:v>
                </c:pt>
                <c:pt idx="5">
                  <c:v>0</c:v>
                </c:pt>
                <c:pt idx="6">
                  <c:v>0</c:v>
                </c:pt>
                <c:pt idx="7">
                  <c:v>7</c:v>
                </c:pt>
                <c:pt idx="8">
                  <c:v>34</c:v>
                </c:pt>
                <c:pt idx="9">
                  <c:v>227</c:v>
                </c:pt>
                <c:pt idx="10">
                  <c:v>699</c:v>
                </c:pt>
                <c:pt idx="11">
                  <c:v>1572</c:v>
                </c:pt>
                <c:pt idx="12">
                  <c:v>2389</c:v>
                </c:pt>
                <c:pt idx="13">
                  <c:v>2377</c:v>
                </c:pt>
                <c:pt idx="14">
                  <c:v>1639</c:v>
                </c:pt>
                <c:pt idx="15">
                  <c:v>792</c:v>
                </c:pt>
                <c:pt idx="16">
                  <c:v>215</c:v>
                </c:pt>
                <c:pt idx="17">
                  <c:v>43</c:v>
                </c:pt>
                <c:pt idx="18">
                  <c:v>6</c:v>
                </c:pt>
              </c:numCache>
            </c:numRef>
          </c:val>
          <c:smooth val="0"/>
          <c:extLst>
            <c:ext xmlns:c16="http://schemas.microsoft.com/office/drawing/2014/chart" uri="{C3380CC4-5D6E-409C-BE32-E72D297353CC}">
              <c16:uniqueId val="{00000002-6C44-4588-9B44-77D2BEE42575}"/>
            </c:ext>
          </c:extLst>
        </c:ser>
        <c:dLbls>
          <c:showLegendKey val="0"/>
          <c:showVal val="0"/>
          <c:showCatName val="0"/>
          <c:showSerName val="0"/>
          <c:showPercent val="0"/>
          <c:showBubbleSize val="0"/>
        </c:dLbls>
        <c:smooth val="0"/>
        <c:axId val="432816224"/>
        <c:axId val="432816552"/>
      </c:lineChart>
      <c:catAx>
        <c:axId val="4328162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552"/>
        <c:crosses val="autoZero"/>
        <c:auto val="1"/>
        <c:lblAlgn val="ctr"/>
        <c:lblOffset val="100"/>
        <c:noMultiLvlLbl val="0"/>
      </c:catAx>
      <c:valAx>
        <c:axId val="432816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90%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porcentajes'!$B$44</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porcentajes'!$B$45:$B$81</c:f>
              <c:numCache>
                <c:formatCode>General</c:formatCode>
                <c:ptCount val="37"/>
                <c:pt idx="0">
                  <c:v>0</c:v>
                </c:pt>
                <c:pt idx="1">
                  <c:v>0</c:v>
                </c:pt>
                <c:pt idx="2">
                  <c:v>1</c:v>
                </c:pt>
                <c:pt idx="3">
                  <c:v>1</c:v>
                </c:pt>
                <c:pt idx="4">
                  <c:v>10</c:v>
                </c:pt>
                <c:pt idx="5">
                  <c:v>19</c:v>
                </c:pt>
                <c:pt idx="6">
                  <c:v>95</c:v>
                </c:pt>
                <c:pt idx="7">
                  <c:v>231</c:v>
                </c:pt>
                <c:pt idx="8">
                  <c:v>436</c:v>
                </c:pt>
                <c:pt idx="9">
                  <c:v>743</c:v>
                </c:pt>
                <c:pt idx="10">
                  <c:v>1142</c:v>
                </c:pt>
                <c:pt idx="11">
                  <c:v>1451</c:v>
                </c:pt>
                <c:pt idx="12">
                  <c:v>1525</c:v>
                </c:pt>
                <c:pt idx="13">
                  <c:v>1485</c:v>
                </c:pt>
                <c:pt idx="14">
                  <c:v>1146</c:v>
                </c:pt>
                <c:pt idx="15">
                  <c:v>842</c:v>
                </c:pt>
                <c:pt idx="16">
                  <c:v>461</c:v>
                </c:pt>
                <c:pt idx="17">
                  <c:v>257</c:v>
                </c:pt>
                <c:pt idx="18">
                  <c:v>107</c:v>
                </c:pt>
                <c:pt idx="19">
                  <c:v>29</c:v>
                </c:pt>
                <c:pt idx="20">
                  <c:v>15</c:v>
                </c:pt>
                <c:pt idx="21">
                  <c:v>2</c:v>
                </c:pt>
                <c:pt idx="22">
                  <c:v>1</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1A3F-4794-BA07-02E7D6280C8A}"/>
            </c:ext>
          </c:extLst>
        </c:ser>
        <c:ser>
          <c:idx val="1"/>
          <c:order val="1"/>
          <c:tx>
            <c:strRef>
              <c:f>'\Users\gyl\Downloads\[Graficos.xlsx]Graficos con porcentajes'!$C$44</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porcentajes'!$C$45:$C$81</c:f>
              <c:numCache>
                <c:formatCode>General</c:formatCode>
                <c:ptCount val="37"/>
                <c:pt idx="0">
                  <c:v>2</c:v>
                </c:pt>
                <c:pt idx="1">
                  <c:v>5</c:v>
                </c:pt>
                <c:pt idx="2">
                  <c:v>30</c:v>
                </c:pt>
                <c:pt idx="3">
                  <c:v>78</c:v>
                </c:pt>
                <c:pt idx="4">
                  <c:v>284</c:v>
                </c:pt>
                <c:pt idx="5">
                  <c:v>652</c:v>
                </c:pt>
                <c:pt idx="6">
                  <c:v>1166</c:v>
                </c:pt>
                <c:pt idx="7">
                  <c:v>1628</c:v>
                </c:pt>
                <c:pt idx="8">
                  <c:v>1763</c:v>
                </c:pt>
                <c:pt idx="9">
                  <c:v>1690</c:v>
                </c:pt>
                <c:pt idx="10">
                  <c:v>1368</c:v>
                </c:pt>
                <c:pt idx="11">
                  <c:v>798</c:v>
                </c:pt>
                <c:pt idx="12">
                  <c:v>347</c:v>
                </c:pt>
                <c:pt idx="13">
                  <c:v>133</c:v>
                </c:pt>
                <c:pt idx="14">
                  <c:v>46</c:v>
                </c:pt>
                <c:pt idx="15">
                  <c:v>7</c:v>
                </c:pt>
                <c:pt idx="16">
                  <c:v>3</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1-1A3F-4794-BA07-02E7D6280C8A}"/>
            </c:ext>
          </c:extLst>
        </c:ser>
        <c:ser>
          <c:idx val="2"/>
          <c:order val="2"/>
          <c:tx>
            <c:strRef>
              <c:f>'\Users\gyl\Downloads\[Graficos.xlsx]Graficos con porcentajes'!$D$44</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porcentajes'!$D$45:$D$81</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11</c:v>
                </c:pt>
                <c:pt idx="17">
                  <c:v>32</c:v>
                </c:pt>
                <c:pt idx="18">
                  <c:v>51</c:v>
                </c:pt>
                <c:pt idx="19">
                  <c:v>168</c:v>
                </c:pt>
                <c:pt idx="20">
                  <c:v>356</c:v>
                </c:pt>
                <c:pt idx="21">
                  <c:v>636</c:v>
                </c:pt>
                <c:pt idx="22">
                  <c:v>1034</c:v>
                </c:pt>
                <c:pt idx="23">
                  <c:v>1360</c:v>
                </c:pt>
                <c:pt idx="24">
                  <c:v>1557</c:v>
                </c:pt>
                <c:pt idx="25">
                  <c:v>1531</c:v>
                </c:pt>
                <c:pt idx="26">
                  <c:v>1214</c:v>
                </c:pt>
                <c:pt idx="27">
                  <c:v>939</c:v>
                </c:pt>
                <c:pt idx="28">
                  <c:v>576</c:v>
                </c:pt>
                <c:pt idx="29">
                  <c:v>331</c:v>
                </c:pt>
                <c:pt idx="30">
                  <c:v>123</c:v>
                </c:pt>
                <c:pt idx="31">
                  <c:v>54</c:v>
                </c:pt>
                <c:pt idx="32">
                  <c:v>18</c:v>
                </c:pt>
                <c:pt idx="33">
                  <c:v>5</c:v>
                </c:pt>
                <c:pt idx="34">
                  <c:v>2</c:v>
                </c:pt>
                <c:pt idx="35">
                  <c:v>1</c:v>
                </c:pt>
                <c:pt idx="36">
                  <c:v>1</c:v>
                </c:pt>
              </c:numCache>
            </c:numRef>
          </c:val>
          <c:smooth val="0"/>
          <c:extLst>
            <c:ext xmlns:c16="http://schemas.microsoft.com/office/drawing/2014/chart" uri="{C3380CC4-5D6E-409C-BE32-E72D297353CC}">
              <c16:uniqueId val="{00000002-1A3F-4794-BA07-02E7D6280C8A}"/>
            </c:ext>
          </c:extLst>
        </c:ser>
        <c:dLbls>
          <c:showLegendKey val="0"/>
          <c:showVal val="0"/>
          <c:showCatName val="0"/>
          <c:showSerName val="0"/>
          <c:showPercent val="0"/>
          <c:showBubbleSize val="0"/>
        </c:dLbls>
        <c:smooth val="0"/>
        <c:axId val="553795679"/>
        <c:axId val="553796927"/>
      </c:lineChart>
      <c:catAx>
        <c:axId val="5537956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6927"/>
        <c:crosses val="autoZero"/>
        <c:auto val="1"/>
        <c:lblAlgn val="ctr"/>
        <c:lblOffset val="100"/>
        <c:noMultiLvlLbl val="0"/>
      </c:catAx>
      <c:valAx>
        <c:axId val="5537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50%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porcentajes'!$B$68</c:f>
              <c:strCache>
                <c:ptCount val="1"/>
                <c:pt idx="0">
                  <c:v>Coloreo</c:v>
                </c:pt>
              </c:strCache>
            </c:strRef>
          </c:tx>
          <c:spPr>
            <a:ln w="28575" cap="rnd">
              <a:solidFill>
                <a:schemeClr val="accent1"/>
              </a:solidFill>
              <a:round/>
            </a:ln>
            <a:effectLst/>
          </c:spPr>
          <c:marker>
            <c:symbol val="none"/>
          </c:marker>
          <c:cat>
            <c:numRef>
              <c:f>'Graficos con porcentajes'!$A$69:$A$83</c:f>
              <c:numCache>
                <c:formatCode>General</c:formatCode>
                <c:ptCount val="15"/>
                <c:pt idx="0">
                  <c:v>334</c:v>
                </c:pt>
                <c:pt idx="1">
                  <c:v>335</c:v>
                </c:pt>
                <c:pt idx="2">
                  <c:v>336</c:v>
                </c:pt>
                <c:pt idx="3">
                  <c:v>337</c:v>
                </c:pt>
                <c:pt idx="4">
                  <c:v>338</c:v>
                </c:pt>
                <c:pt idx="5">
                  <c:v>339</c:v>
                </c:pt>
                <c:pt idx="6">
                  <c:v>340</c:v>
                </c:pt>
                <c:pt idx="7">
                  <c:v>341</c:v>
                </c:pt>
                <c:pt idx="8">
                  <c:v>342</c:v>
                </c:pt>
                <c:pt idx="9">
                  <c:v>343</c:v>
                </c:pt>
                <c:pt idx="10">
                  <c:v>344</c:v>
                </c:pt>
                <c:pt idx="11">
                  <c:v>345</c:v>
                </c:pt>
                <c:pt idx="12">
                  <c:v>346</c:v>
                </c:pt>
                <c:pt idx="13">
                  <c:v>347</c:v>
                </c:pt>
                <c:pt idx="14">
                  <c:v>348</c:v>
                </c:pt>
              </c:numCache>
            </c:numRef>
          </c:cat>
          <c:val>
            <c:numRef>
              <c:f>'Graficos con porcentajes'!$B$69:$B$83</c:f>
              <c:numCache>
                <c:formatCode>General</c:formatCode>
                <c:ptCount val="15"/>
                <c:pt idx="0">
                  <c:v>24</c:v>
                </c:pt>
                <c:pt idx="1">
                  <c:v>455</c:v>
                </c:pt>
                <c:pt idx="2">
                  <c:v>1455</c:v>
                </c:pt>
                <c:pt idx="3">
                  <c:v>2061</c:v>
                </c:pt>
                <c:pt idx="4">
                  <c:v>2051</c:v>
                </c:pt>
                <c:pt idx="5">
                  <c:v>1522</c:v>
                </c:pt>
                <c:pt idx="6">
                  <c:v>1076</c:v>
                </c:pt>
                <c:pt idx="7">
                  <c:v>630</c:v>
                </c:pt>
                <c:pt idx="8">
                  <c:v>343</c:v>
                </c:pt>
                <c:pt idx="9">
                  <c:v>204</c:v>
                </c:pt>
                <c:pt idx="10">
                  <c:v>89</c:v>
                </c:pt>
                <c:pt idx="11">
                  <c:v>39</c:v>
                </c:pt>
                <c:pt idx="12">
                  <c:v>34</c:v>
                </c:pt>
                <c:pt idx="13">
                  <c:v>12</c:v>
                </c:pt>
                <c:pt idx="14">
                  <c:v>5</c:v>
                </c:pt>
              </c:numCache>
            </c:numRef>
          </c:val>
          <c:smooth val="0"/>
          <c:extLst>
            <c:ext xmlns:c16="http://schemas.microsoft.com/office/drawing/2014/chart" uri="{C3380CC4-5D6E-409C-BE32-E72D297353CC}">
              <c16:uniqueId val="{00000000-3DA7-4A71-A49D-B8E2AB46F138}"/>
            </c:ext>
          </c:extLst>
        </c:ser>
        <c:dLbls>
          <c:showLegendKey val="0"/>
          <c:showVal val="0"/>
          <c:showCatName val="0"/>
          <c:showSerName val="0"/>
          <c:showPercent val="0"/>
          <c:showBubbleSize val="0"/>
        </c:dLbls>
        <c:smooth val="0"/>
        <c:axId val="422714335"/>
        <c:axId val="417874959"/>
      </c:lineChart>
      <c:catAx>
        <c:axId val="4227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17874959"/>
        <c:crosses val="autoZero"/>
        <c:auto val="1"/>
        <c:lblAlgn val="ctr"/>
        <c:lblOffset val="100"/>
        <c:noMultiLvlLbl val="0"/>
      </c:catAx>
      <c:valAx>
        <c:axId val="41787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271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75%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porcentajes'!$B$87</c:f>
              <c:strCache>
                <c:ptCount val="1"/>
                <c:pt idx="0">
                  <c:v>Coloreo</c:v>
                </c:pt>
              </c:strCache>
            </c:strRef>
          </c:tx>
          <c:spPr>
            <a:ln w="28575" cap="rnd">
              <a:solidFill>
                <a:schemeClr val="accent1"/>
              </a:solidFill>
              <a:round/>
            </a:ln>
            <a:effectLst/>
          </c:spPr>
          <c:marker>
            <c:symbol val="none"/>
          </c:marker>
          <c:cat>
            <c:numRef>
              <c:f>'Graficos con porcentajes'!$A$88:$A$101</c:f>
              <c:numCache>
                <c:formatCode>General</c:formatCode>
                <c:ptCount val="14"/>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numCache>
            </c:numRef>
          </c:cat>
          <c:val>
            <c:numRef>
              <c:f>'Graficos con porcentajes'!$B$88:$B$101</c:f>
              <c:numCache>
                <c:formatCode>General</c:formatCode>
                <c:ptCount val="14"/>
                <c:pt idx="0">
                  <c:v>279</c:v>
                </c:pt>
                <c:pt idx="1">
                  <c:v>2102</c:v>
                </c:pt>
                <c:pt idx="2">
                  <c:v>2635</c:v>
                </c:pt>
                <c:pt idx="3">
                  <c:v>2165</c:v>
                </c:pt>
                <c:pt idx="4">
                  <c:v>1346</c:v>
                </c:pt>
                <c:pt idx="5">
                  <c:v>782</c:v>
                </c:pt>
                <c:pt idx="6">
                  <c:v>380</c:v>
                </c:pt>
                <c:pt idx="7">
                  <c:v>176</c:v>
                </c:pt>
                <c:pt idx="8">
                  <c:v>79</c:v>
                </c:pt>
                <c:pt idx="9">
                  <c:v>64</c:v>
                </c:pt>
                <c:pt idx="10">
                  <c:v>11</c:v>
                </c:pt>
                <c:pt idx="11">
                  <c:v>7</c:v>
                </c:pt>
                <c:pt idx="12">
                  <c:v>3</c:v>
                </c:pt>
                <c:pt idx="13">
                  <c:v>1</c:v>
                </c:pt>
              </c:numCache>
            </c:numRef>
          </c:val>
          <c:smooth val="0"/>
          <c:extLst>
            <c:ext xmlns:c16="http://schemas.microsoft.com/office/drawing/2014/chart" uri="{C3380CC4-5D6E-409C-BE32-E72D297353CC}">
              <c16:uniqueId val="{00000000-3BE8-45B8-B24E-CE0D84C25CF2}"/>
            </c:ext>
          </c:extLst>
        </c:ser>
        <c:dLbls>
          <c:showLegendKey val="0"/>
          <c:showVal val="0"/>
          <c:showCatName val="0"/>
          <c:showSerName val="0"/>
          <c:showPercent val="0"/>
          <c:showBubbleSize val="0"/>
        </c:dLbls>
        <c:smooth val="0"/>
        <c:axId val="181674559"/>
        <c:axId val="177816991"/>
      </c:lineChart>
      <c:catAx>
        <c:axId val="18167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7816991"/>
        <c:crosses val="autoZero"/>
        <c:auto val="1"/>
        <c:lblAlgn val="ctr"/>
        <c:lblOffset val="100"/>
        <c:noMultiLvlLbl val="0"/>
      </c:catAx>
      <c:valAx>
        <c:axId val="17781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167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294</Words>
  <Characters>1620</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Arzola</dc:creator>
  <cp:keywords/>
  <dc:description/>
  <cp:lastModifiedBy>lucas Arzola</cp:lastModifiedBy>
  <cp:revision>10</cp:revision>
  <dcterms:created xsi:type="dcterms:W3CDTF">2019-11-14T18:16:00Z</dcterms:created>
  <dcterms:modified xsi:type="dcterms:W3CDTF">2019-11-14T18:37:00Z</dcterms:modified>
</cp:coreProperties>
</file>