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60E6A" w14:textId="77777777" w:rsidR="00315C6D" w:rsidRPr="00315C6D" w:rsidRDefault="00315C6D" w:rsidP="00315C6D">
      <w:pPr>
        <w:autoSpaceDE w:val="0"/>
        <w:autoSpaceDN w:val="0"/>
        <w:adjustRightInd w:val="0"/>
        <w:spacing w:after="0" w:line="240" w:lineRule="auto"/>
        <w:ind w:left="4395" w:hanging="75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3DA3E8FA" w14:textId="77777777" w:rsidR="00315C6D" w:rsidRPr="00315C6D" w:rsidRDefault="00315C6D" w:rsidP="00315C6D">
      <w:pPr>
        <w:autoSpaceDE w:val="0"/>
        <w:autoSpaceDN w:val="0"/>
        <w:adjustRightInd w:val="0"/>
        <w:spacing w:after="0" w:line="240" w:lineRule="auto"/>
        <w:ind w:left="4395" w:hanging="75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785661" w14:textId="77777777" w:rsidR="007132E6" w:rsidRPr="007132E6" w:rsidRDefault="007132E6" w:rsidP="007132E6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2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«УТВЕРЖДЕНО»</w:t>
      </w:r>
    </w:p>
    <w:p w14:paraId="5510A99E" w14:textId="77777777" w:rsidR="007132E6" w:rsidRDefault="007132E6" w:rsidP="007132E6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2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решением Наблюдательного совета </w:t>
      </w:r>
    </w:p>
    <w:p w14:paraId="1B96B011" w14:textId="6CF383B5" w:rsidR="007132E6" w:rsidRPr="007132E6" w:rsidRDefault="007132E6" w:rsidP="007132E6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2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АО «Узбекнефтегаз»</w:t>
      </w:r>
    </w:p>
    <w:p w14:paraId="015F3A14" w14:textId="7EED3412" w:rsidR="009670AE" w:rsidRPr="00E91471" w:rsidRDefault="007132E6" w:rsidP="007132E6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32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 «29» ноября 2017 года</w:t>
      </w:r>
    </w:p>
    <w:p w14:paraId="3D43B262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1F3E61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A9004D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7D8DD8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B78BAF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7687D8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146706B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6537198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A399AF4" w14:textId="052CD03E" w:rsidR="009670AE" w:rsidRPr="00315C6D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15C6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ПОЛОЖЕНИЕ О КОРПОРАТИВНОМ КОНСУЛЬТАНТЕ </w:t>
      </w:r>
    </w:p>
    <w:p w14:paraId="1EFA5399" w14:textId="77777777" w:rsidR="009670AE" w:rsidRPr="00315C6D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15C6D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АКЦИОНЕРНОГО ОБЩЕСТВА</w:t>
      </w:r>
    </w:p>
    <w:p w14:paraId="0465DDB7" w14:textId="77777777" w:rsidR="009670AE" w:rsidRPr="00315C6D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15C6D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«УЗБЕКНЕФТЕГАЗ»</w:t>
      </w:r>
    </w:p>
    <w:p w14:paraId="52F773BF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203E0D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F9667E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DDCDA9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2796B9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CE183E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84BE9E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89180CC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07044E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3CD0EC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27A423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D08CBE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BB42E2B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5C0F2B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BEE606" w14:textId="77777777" w:rsidR="009670AE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8B4255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7C7BAB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A0F8DB" w14:textId="233D93FF" w:rsidR="009670AE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635D54" w14:textId="5B002220" w:rsidR="007132E6" w:rsidRDefault="007132E6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2A11D3" w14:textId="7BFA8A37" w:rsidR="007132E6" w:rsidRDefault="007132E6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955385" w14:textId="5CB1F2C0" w:rsidR="007132E6" w:rsidRDefault="007132E6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BA9CFF" w14:textId="5F25B608" w:rsidR="007132E6" w:rsidRDefault="007132E6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4C5311D" w14:textId="5BFA0811" w:rsidR="007132E6" w:rsidRDefault="007132E6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14488C" w14:textId="77777777" w:rsidR="007132E6" w:rsidRPr="00E91471" w:rsidRDefault="007132E6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77CA10" w14:textId="77777777" w:rsidR="009670AE" w:rsidRPr="00E91471" w:rsidRDefault="009670AE" w:rsidP="00924A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8FC638" w14:textId="0CA18541" w:rsidR="009670AE" w:rsidRPr="00E91471" w:rsidRDefault="009670AE" w:rsidP="00DC09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9147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Ташкент - 201</w:t>
      </w:r>
      <w:r w:rsidR="007132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E9147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год</w:t>
      </w:r>
    </w:p>
    <w:p w14:paraId="4FB4164E" w14:textId="77777777" w:rsidR="009670AE" w:rsidRPr="00E91471" w:rsidRDefault="009670AE" w:rsidP="00E91471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DC0906">
        <w:rPr>
          <w:rFonts w:ascii="Arial" w:hAnsi="Arial" w:cs="Arial"/>
          <w:color w:val="000000"/>
          <w:sz w:val="28"/>
          <w:szCs w:val="28"/>
        </w:rPr>
        <w:br w:type="page"/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Раздел 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  <w:t>Общие положения</w:t>
      </w:r>
    </w:p>
    <w:p w14:paraId="4AC87E82" w14:textId="2CC56CB6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1.1. Настоящее Положение разработано в соответствии с Законом Республики Узбекистан «Об акционерных обществах и защите прав акционеров», рекомендациями Кодекса корпоративного управления, утвержденного протоколом заседания Комиссии по повышению эффективности деятельности акционерных обществ и совершенствованию системы корпоративного управления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(от 11.02.2016г. № 02-02/1-187), уставом </w:t>
      </w:r>
      <w:r w:rsidR="007132E6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>АО</w:t>
      </w:r>
      <w:r w:rsidRPr="00E91471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 xml:space="preserve">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«</w:t>
      </w:r>
      <w:r w:rsidRPr="00E91471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>Узбекнефтегаз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» (далее – </w:t>
      </w:r>
      <w:r w:rsidR="007132E6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>Общество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) и определяет статус и регламентирует работу корпоративного консультанта 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, его избрание, а также его права и обязанности.</w:t>
      </w:r>
    </w:p>
    <w:p w14:paraId="08AA28B5" w14:textId="22F1555E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1.2. Корпоративный консультант является должностным лицом 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 xml:space="preserve">Общества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подотчетным 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Наблюдательному совету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2E85550" w14:textId="77777777" w:rsidR="009670AE" w:rsidRPr="00E91471" w:rsidRDefault="009670AE" w:rsidP="000521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61DA253" w14:textId="77777777" w:rsidR="009670AE" w:rsidRPr="00E91471" w:rsidRDefault="009670AE" w:rsidP="000521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Раздел 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II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>.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 </w:t>
      </w:r>
    </w:p>
    <w:p w14:paraId="59E90FD6" w14:textId="77777777" w:rsidR="009670AE" w:rsidRPr="00E91471" w:rsidRDefault="009670AE" w:rsidP="000521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>Порядок назначения корпоративного консультанта</w:t>
      </w:r>
    </w:p>
    <w:p w14:paraId="5D1172BC" w14:textId="03EA7110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2.1. Корпоративный консультант назначается 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>Наблюдательн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ы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>м совет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ом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 xml:space="preserve">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16B8904" w14:textId="5036B251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2.2. При рассмотрении и утверждении кандидатуры корпоративного консультанта решение принимается 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>Наблюдательн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ы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>м совет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ом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 xml:space="preserve"> Общества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простым большинством голосов.</w:t>
      </w:r>
    </w:p>
    <w:p w14:paraId="15741574" w14:textId="47068893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2.3. Кандидат на должность корпоративного консультанта обязан сообщить 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 xml:space="preserve">Наблюдательному совету Общества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о фактах привлечения его к уголовной, административной и иной ответственности.</w:t>
      </w:r>
    </w:p>
    <w:p w14:paraId="2167C30F" w14:textId="6BB3910B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2.4. Кандидат на должность корпоративного консультанта может присутствовать на заседании 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>Наблюдательно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го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 xml:space="preserve"> совет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а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 xml:space="preserve"> Общества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при рассмотрении своей кандидатуры.</w:t>
      </w:r>
    </w:p>
    <w:p w14:paraId="24B2D31B" w14:textId="32B2E838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2.5. После утверждения 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>Наблюдательн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ы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>м совет</w:t>
      </w:r>
      <w:r w:rsidR="007132E6">
        <w:rPr>
          <w:rFonts w:ascii="Times New Roman" w:hAnsi="Times New Roman" w:cs="Times New Roman"/>
          <w:color w:val="000000"/>
          <w:sz w:val="26"/>
          <w:szCs w:val="26"/>
        </w:rPr>
        <w:t>ом</w:t>
      </w:r>
      <w:r w:rsidR="007132E6" w:rsidRPr="007132E6">
        <w:rPr>
          <w:rFonts w:ascii="Times New Roman" w:hAnsi="Times New Roman" w:cs="Times New Roman"/>
          <w:color w:val="000000"/>
          <w:sz w:val="26"/>
          <w:szCs w:val="26"/>
        </w:rPr>
        <w:t xml:space="preserve"> Общества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кандидатуры корпоративного консультанта с ним заключается трудовой контракт на исполнение обязанностей или трудовое соглашение. Трудовой контракт или трудовое соглашение с корпоративным консультантом заключается сроком на один год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с ежегодным принятием решения о возможности его продления или прекращения. Договор от имени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 подписывается председателем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Наблюдательного совета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B597AEC" w14:textId="6DD584A9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2.6. Корпоративный консультант за нарушение устава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а также условий трудового контракта или трудового соглашения может быть отозван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с занимаемой должности с одновременным расторжением трудового контракта или трудового соглашения. Решение об отзыве корпоративного консультанта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и расторжении с ним трудового контракта или трудового соглашения принимается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Наблюдательным советом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2CDBC90" w14:textId="77777777" w:rsidR="009670AE" w:rsidRPr="00E91471" w:rsidRDefault="009670AE" w:rsidP="00C11E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19C7B61C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Раздел 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en-US"/>
        </w:rPr>
        <w:t>III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. </w:t>
      </w:r>
    </w:p>
    <w:p w14:paraId="1DA202D3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Компетенция и обязанности корпоративного консультанта</w:t>
      </w:r>
    </w:p>
    <w:p w14:paraId="6B532A66" w14:textId="59B6C064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3.1. Корпоративный консультант действует в пределах компетенции, определяемой, настоящим Положением, условиями заключенного с ними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трудового контракта или трудового соглашения, решениями общего собрания акционеров,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Наблюдательного совета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08E6B69" w14:textId="5AA9E526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3.2. Основной функцией корпоративного консультанта является контроль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за соблюдением корпоративного законодательства в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Обществе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 В рамках своей основной функции корпоративный консультант:</w:t>
      </w:r>
    </w:p>
    <w:p w14:paraId="22BB8BC4" w14:textId="38DCBADD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3.2.1. изучает корпоративные стандарты и образцы корпоративного документооборота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FED91FB" w14:textId="21096582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3.2.2. выявляет несоответствия корпоративных стандартов и иных документов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 текущему законодательству, вносит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на рассмотрение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Наблюдательному совету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 предложения по их устранению;</w:t>
      </w:r>
    </w:p>
    <w:p w14:paraId="2806115E" w14:textId="5FF8739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3.2.3. осуществляет мониторинг деятельности органов корпоративного управления и контроля, а также ведущих должностных лиц </w:t>
      </w:r>
      <w:r w:rsidR="00175DA9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 на предмет соответствия действий корпоративным стандартам;</w:t>
      </w:r>
    </w:p>
    <w:p w14:paraId="0BD50C0F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3.2.4. принимает на рассмотрение проекты документов и дает рекомендации по ним или участвует в их разработке;</w:t>
      </w:r>
    </w:p>
    <w:p w14:paraId="073C44D0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3.2.5. оказывает методологическую помощь при организации корпоративного документооборота;</w:t>
      </w:r>
    </w:p>
    <w:p w14:paraId="2E289D3B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3.2.6. по просьбам членов органов корпоративного управления и контроля,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а также акционеров или их представителей проводит частные консультации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>по вопросам корпоративного законодательства и внедрения наилучшей практики корпоративного управления;</w:t>
      </w:r>
    </w:p>
    <w:p w14:paraId="6724A6B7" w14:textId="29406D2C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3.2.7. готовит и вносит на рассмотрение </w:t>
      </w:r>
      <w:bookmarkStart w:id="1" w:name="_Hlk41471180"/>
      <w:r w:rsidR="00AC2856">
        <w:rPr>
          <w:rFonts w:ascii="Times New Roman" w:hAnsi="Times New Roman" w:cs="Times New Roman"/>
          <w:color w:val="000000"/>
          <w:sz w:val="26"/>
          <w:szCs w:val="26"/>
        </w:rPr>
        <w:t>Наблюдательного совета Общества</w:t>
      </w:r>
      <w:bookmarkEnd w:id="1"/>
      <w:r w:rsidRPr="00E91471">
        <w:rPr>
          <w:rFonts w:ascii="Times New Roman" w:hAnsi="Times New Roman" w:cs="Times New Roman"/>
          <w:color w:val="000000"/>
          <w:sz w:val="26"/>
          <w:szCs w:val="26"/>
        </w:rPr>
        <w:t>, предложения по внедрению принципов корпоративного управления;</w:t>
      </w:r>
    </w:p>
    <w:p w14:paraId="041CA2DC" w14:textId="1499E090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3.2.8. отчитывается перед </w:t>
      </w:r>
      <w:r w:rsidR="00AC2856" w:rsidRPr="00AC2856">
        <w:rPr>
          <w:rFonts w:ascii="Times New Roman" w:hAnsi="Times New Roman" w:cs="Times New Roman"/>
          <w:color w:val="000000"/>
          <w:sz w:val="26"/>
          <w:szCs w:val="26"/>
        </w:rPr>
        <w:t>Наблюдательн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ым</w:t>
      </w:r>
      <w:r w:rsidR="00AC2856" w:rsidRPr="00AC2856">
        <w:rPr>
          <w:rFonts w:ascii="Times New Roman" w:hAnsi="Times New Roman" w:cs="Times New Roman"/>
          <w:color w:val="000000"/>
          <w:sz w:val="26"/>
          <w:szCs w:val="26"/>
        </w:rPr>
        <w:t xml:space="preserve"> совет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ом</w:t>
      </w:r>
      <w:r w:rsidR="00AC2856" w:rsidRPr="00AC2856">
        <w:rPr>
          <w:rFonts w:ascii="Times New Roman" w:hAnsi="Times New Roman" w:cs="Times New Roman"/>
          <w:color w:val="000000"/>
          <w:sz w:val="26"/>
          <w:szCs w:val="26"/>
        </w:rPr>
        <w:t xml:space="preserve"> Общества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о состоянии соблюдения корпоративного законодательства и представляет заключение корпоративного консультанта;</w:t>
      </w:r>
    </w:p>
    <w:p w14:paraId="59A0865F" w14:textId="653213E2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3.2.9. выполняет консультационную работу по отдельным распоряжениям </w:t>
      </w:r>
      <w:r w:rsidR="00AC2856" w:rsidRPr="00AC2856">
        <w:rPr>
          <w:rFonts w:ascii="Times New Roman" w:hAnsi="Times New Roman" w:cs="Times New Roman"/>
          <w:color w:val="000000"/>
          <w:sz w:val="26"/>
          <w:szCs w:val="26"/>
        </w:rPr>
        <w:t>Наблюдательного совета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E4FCA0B" w14:textId="24DBF2DA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3.3. Органы корпоративного управления и контроля Компании должны обеспечить корпоративного консультанта копиями всех документов, касательно корпоративных событий 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 К числу таких документов относятся:</w:t>
      </w:r>
    </w:p>
    <w:p w14:paraId="5606F88A" w14:textId="20D4B7AD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3.3.1. устав и внутренние положения 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должностные инструкции руководящего звена 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проспекты эмиссии ценных бумаг и решения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>об их выпуске;</w:t>
      </w:r>
    </w:p>
    <w:p w14:paraId="64799960" w14:textId="765BA3B6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3.3.2. протоколы общих собраний акционеров, заседаний </w:t>
      </w:r>
      <w:r w:rsidR="00AC2856" w:rsidRPr="00AC2856">
        <w:rPr>
          <w:rFonts w:ascii="Times New Roman" w:hAnsi="Times New Roman" w:cs="Times New Roman"/>
          <w:color w:val="000000"/>
          <w:sz w:val="26"/>
          <w:szCs w:val="26"/>
        </w:rPr>
        <w:t>Наблюдательного совета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ревизионной комиссии, службы внутреннего аудита и счетной комиссии 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7FDF083" w14:textId="0C5778D9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3.3.3. планы работ и отчеты по их выполнению органов корпоративного управления и контроля 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4009600" w14:textId="10B0C0A5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3.3.4. бизнес-план 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3587519F" w14:textId="49917020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3.3.5. заключения ревизионной комиссии, службы внутреннего аудита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и аудиторской организации 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3530F83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3.3.6. сведения об аффилированных лицах, крупных сделках и сделках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с аффилированными лицами, признанных таковыми в соответствие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>с действующим законодательством Республики Узбекистан;</w:t>
      </w:r>
    </w:p>
    <w:p w14:paraId="4486EAC2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3.3.7. другие документы, являющиеся носителями решений органов корпоративного управления и контроля, а также документы являющиеся объектами данных решений.</w:t>
      </w:r>
    </w:p>
    <w:p w14:paraId="06E8E9F9" w14:textId="16632783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3.4. Корпоративный консультант по долгу службы имеет, по согласованию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 с руководством 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доступ к любой иной документации </w:t>
      </w:r>
      <w:r w:rsidR="00AC285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касательно корпоративных событий и взаимоотношений, в частности, реестра акционеров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письменных обращений акционеров и иных заинтересованных лиц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внутренняя и внешняя корреспонденция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064B29A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3.5. Корпоративный консультант ответственен за сохранность, полученных копий документов. При прекращении трудового контракта или трудового соглашения с корпоративным консультантом, он обязан передать вверенную документацию по описи.</w:t>
      </w:r>
    </w:p>
    <w:p w14:paraId="222479D1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3.6. Условия работы и материальное стимулирование корпоративного консультанта оговариваются и осуществляются в соответствие с трудовым контрактом о найме или трудовым соглашением.</w:t>
      </w:r>
    </w:p>
    <w:p w14:paraId="6C61FF6B" w14:textId="77777777" w:rsidR="009670AE" w:rsidRPr="00E91471" w:rsidRDefault="009670AE" w:rsidP="00C11E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690AA6E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Раздел 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IV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. </w:t>
      </w:r>
    </w:p>
    <w:p w14:paraId="76E6E97E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Порядок работы корпоративного консультанта</w:t>
      </w:r>
    </w:p>
    <w:p w14:paraId="13987512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4.1. Корпоративный консультант осуществляет свои функции, как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>на постоянной основе, так и по совместительству (на повременной оплате труда).</w:t>
      </w:r>
    </w:p>
    <w:p w14:paraId="5ACFF566" w14:textId="065AAFB6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4.2. </w:t>
      </w:r>
      <w:r w:rsidR="00E35736" w:rsidRPr="00E35736">
        <w:rPr>
          <w:rFonts w:ascii="Times New Roman" w:hAnsi="Times New Roman" w:cs="Times New Roman"/>
          <w:color w:val="000000"/>
          <w:sz w:val="26"/>
          <w:szCs w:val="26"/>
        </w:rPr>
        <w:t>Наблюдательн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ый</w:t>
      </w:r>
      <w:r w:rsidR="00E35736" w:rsidRPr="00E35736">
        <w:rPr>
          <w:rFonts w:ascii="Times New Roman" w:hAnsi="Times New Roman" w:cs="Times New Roman"/>
          <w:color w:val="000000"/>
          <w:sz w:val="26"/>
          <w:szCs w:val="26"/>
        </w:rPr>
        <w:t xml:space="preserve"> совет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в разовом порядке, может давать распоряжения корпоративному консультанту по работам не отраженным в его плане работы. Вид таких поручений, должен быть предусмотрен в трудовом контракте или трудовом соглашении с корпоративным консультантом. </w:t>
      </w:r>
    </w:p>
    <w:p w14:paraId="77063D4B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4.3. Корпоративный консультант ставится в известность о всех планируемых заседаниях органов корпоративного управления и контроля. Корпоративный консультант имеет право участвовать во всех заседаниях органов корпоративного управления и контроля. Корпоративный консультант участвует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>на данных заседаниях с правом совещательного голоса.</w:t>
      </w:r>
    </w:p>
    <w:p w14:paraId="456A4E06" w14:textId="77777777" w:rsidR="009670AE" w:rsidRPr="00E91471" w:rsidRDefault="009670AE" w:rsidP="00C11E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14:paraId="1A4005B0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Раздел 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en-US"/>
        </w:rPr>
        <w:t>V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. </w:t>
      </w:r>
    </w:p>
    <w:p w14:paraId="2526EBAF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Ответственность корпоративного консультанта</w:t>
      </w:r>
    </w:p>
    <w:p w14:paraId="612C5BA2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5.1. Корпоративный консультант не должен использовать права, предоставленные его служебным положением, в целях и интересах юридических и физических лиц, с которыми он находится в трудовых отношениях.</w:t>
      </w:r>
    </w:p>
    <w:p w14:paraId="7DC4457E" w14:textId="106359BA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5.2. Корпоративный консультант не должен допускать действий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по извлечению личных выгод из распоряжения имуществом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DAAE556" w14:textId="44BD9D31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5.3. Корпоративный консультант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 несет ответственность перед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Общесвом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 за ущерб, причиненный ему в результате неисполнения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 xml:space="preserve">или ненадлежащего исполнения им своих функций, в полном объеме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по возмещению ущерба, причиненного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Обществу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в соответствии с действующим законодательством Республики Узбекистан и уставом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02D0A1B" w14:textId="77777777" w:rsidR="009670AE" w:rsidRPr="00E91471" w:rsidRDefault="009670AE" w:rsidP="00C11E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6AE97D01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Раздел 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VI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.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en-US"/>
        </w:rPr>
        <w:t> </w:t>
      </w:r>
    </w:p>
    <w:p w14:paraId="1A6D8F58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Вознаграждение корпоративного консультанта</w:t>
      </w:r>
    </w:p>
    <w:p w14:paraId="7820DFBC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6.1. Корпоративный консультант вправе получать ежемесячную заработную плату и премиальное вознаграждение за свою деятельность по исполнению служебных обязательств.</w:t>
      </w:r>
    </w:p>
    <w:p w14:paraId="2034150D" w14:textId="29C5A90B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6.2. Размер заработной платы и премирования устанавливается </w:t>
      </w:r>
      <w:r w:rsidR="00E35736" w:rsidRPr="00E35736">
        <w:rPr>
          <w:rFonts w:ascii="Times New Roman" w:hAnsi="Times New Roman" w:cs="Times New Roman"/>
          <w:color w:val="000000"/>
          <w:sz w:val="26"/>
          <w:szCs w:val="26"/>
        </w:rPr>
        <w:t>Наблюдательн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ым</w:t>
      </w:r>
      <w:r w:rsidR="00E35736" w:rsidRPr="00E35736">
        <w:rPr>
          <w:rFonts w:ascii="Times New Roman" w:hAnsi="Times New Roman" w:cs="Times New Roman"/>
          <w:color w:val="000000"/>
          <w:sz w:val="26"/>
          <w:szCs w:val="26"/>
        </w:rPr>
        <w:t xml:space="preserve"> совет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ом</w:t>
      </w:r>
      <w:r w:rsidR="00E35736" w:rsidRPr="00E35736">
        <w:rPr>
          <w:rFonts w:ascii="Times New Roman" w:hAnsi="Times New Roman" w:cs="Times New Roman"/>
          <w:color w:val="000000"/>
          <w:sz w:val="26"/>
          <w:szCs w:val="26"/>
        </w:rPr>
        <w:t xml:space="preserve"> 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. Затраты по оплате труда закладываются в сметно-расходной части годового бизнес-плана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91860FA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6.3. Размер заработной платы может меняться в случаях: </w:t>
      </w:r>
    </w:p>
    <w:p w14:paraId="074D14B7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6.3.1. перезаключения трудового контракта или трудового соглашения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br/>
        <w:t>с корпоративным консультантом на новый период;</w:t>
      </w:r>
    </w:p>
    <w:p w14:paraId="3320654E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6.3.2. изменения размера минимальной заработной платы по Республике Узбекистан;</w:t>
      </w:r>
    </w:p>
    <w:p w14:paraId="7CDB3D58" w14:textId="77777777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6.3.3. внесения изменений и дополнений в трудовой контракт или трудовое соглашение корпоративного консультанта, в связи с расширением функциональных обязанностей, не предусмотренных предыдущим трудовым контрактом или трудовым соглашением.</w:t>
      </w:r>
    </w:p>
    <w:p w14:paraId="01CD5B46" w14:textId="77777777" w:rsidR="009670AE" w:rsidRPr="00E91471" w:rsidRDefault="009670AE" w:rsidP="00C11E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3E333B1C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Раздел 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val="en-US" w:eastAsia="en-US"/>
        </w:rPr>
        <w:t>VII</w:t>
      </w: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. </w:t>
      </w:r>
    </w:p>
    <w:p w14:paraId="4E6F813B" w14:textId="77777777" w:rsidR="009670AE" w:rsidRPr="00E91471" w:rsidRDefault="009670AE" w:rsidP="000521DA">
      <w:pPr>
        <w:pStyle w:val="ae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</w:pPr>
      <w:r w:rsidRPr="00E91471">
        <w:rPr>
          <w:rFonts w:ascii="Times New Roman" w:hAnsi="Times New Roman" w:cs="Times New Roman"/>
          <w:b/>
          <w:bCs/>
          <w:color w:val="000000"/>
          <w:sz w:val="26"/>
          <w:szCs w:val="26"/>
          <w:lang w:eastAsia="en-US"/>
        </w:rPr>
        <w:t>Заключительные положения</w:t>
      </w:r>
    </w:p>
    <w:p w14:paraId="26BDA008" w14:textId="3BC25DE8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>7.1. Настоящее Положение утвержд</w:t>
      </w:r>
      <w:r w:rsidRPr="00E91471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>ается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35736" w:rsidRPr="00E35736">
        <w:rPr>
          <w:rFonts w:ascii="Times New Roman" w:hAnsi="Times New Roman" w:cs="Times New Roman"/>
          <w:color w:val="000000"/>
          <w:sz w:val="26"/>
          <w:szCs w:val="26"/>
        </w:rPr>
        <w:t>Наблюдательн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ым</w:t>
      </w:r>
      <w:r w:rsidR="00E35736" w:rsidRPr="00E35736">
        <w:rPr>
          <w:rFonts w:ascii="Times New Roman" w:hAnsi="Times New Roman" w:cs="Times New Roman"/>
          <w:color w:val="000000"/>
          <w:sz w:val="26"/>
          <w:szCs w:val="26"/>
        </w:rPr>
        <w:t xml:space="preserve"> совет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ом</w:t>
      </w:r>
      <w:r w:rsidR="00E35736" w:rsidRPr="00E35736">
        <w:rPr>
          <w:rFonts w:ascii="Times New Roman" w:hAnsi="Times New Roman" w:cs="Times New Roman"/>
          <w:color w:val="000000"/>
          <w:sz w:val="26"/>
          <w:szCs w:val="26"/>
        </w:rPr>
        <w:t xml:space="preserve"> Общества </w:t>
      </w:r>
      <w:r w:rsidRPr="00E91471">
        <w:rPr>
          <w:rFonts w:ascii="Times New Roman" w:hAnsi="Times New Roman" w:cs="Times New Roman"/>
          <w:color w:val="000000"/>
          <w:sz w:val="26"/>
          <w:szCs w:val="26"/>
          <w:lang w:val="uz-Cyrl-UZ"/>
        </w:rPr>
        <w:t xml:space="preserve">и 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вступает в силу со дня внесения, в установленном порядке, изменений в организационную структуру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, касающихся введения должности корпоративного консультанта в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Обществе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3B12673" w14:textId="503165EC" w:rsidR="009670AE" w:rsidRPr="00E91471" w:rsidRDefault="009670AE" w:rsidP="000521D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7.2. В случае внесения изменений в законодательство Республики Узбекистан, в результате которого некоторые нормы настоящего Положения вступят в противоречие с законодательством, настоящее Положение продолжает действовать в части, не противоречащей законодательству. Нормы Положения, вступившие в противоречие с законодательством Республики Узбекистан, утрачивают силу, и деятельность корпоративного консультанта </w:t>
      </w:r>
      <w:r w:rsidR="00E35736">
        <w:rPr>
          <w:rFonts w:ascii="Times New Roman" w:hAnsi="Times New Roman" w:cs="Times New Roman"/>
          <w:color w:val="000000"/>
          <w:sz w:val="26"/>
          <w:szCs w:val="26"/>
        </w:rPr>
        <w:t>Общества</w:t>
      </w:r>
      <w:r w:rsidRPr="00E91471">
        <w:rPr>
          <w:rFonts w:ascii="Times New Roman" w:hAnsi="Times New Roman" w:cs="Times New Roman"/>
          <w:color w:val="000000"/>
          <w:sz w:val="26"/>
          <w:szCs w:val="26"/>
        </w:rPr>
        <w:t xml:space="preserve"> в этой части регулируется соответствующими нормами законодательства Республики Узбекистан.</w:t>
      </w:r>
    </w:p>
    <w:sectPr w:rsidR="009670AE" w:rsidRPr="00E91471" w:rsidSect="00315C6D">
      <w:footerReference w:type="default" r:id="rId7"/>
      <w:pgSz w:w="11906" w:h="16838"/>
      <w:pgMar w:top="1134" w:right="851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58860" w14:textId="77777777" w:rsidR="00DC0C7E" w:rsidRDefault="00DC0C7E" w:rsidP="0010058B">
      <w:pPr>
        <w:spacing w:after="0" w:line="240" w:lineRule="auto"/>
      </w:pPr>
      <w:r>
        <w:separator/>
      </w:r>
    </w:p>
  </w:endnote>
  <w:endnote w:type="continuationSeparator" w:id="0">
    <w:p w14:paraId="3F8DC489" w14:textId="77777777" w:rsidR="00DC0C7E" w:rsidRDefault="00DC0C7E" w:rsidP="0010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11E6A" w14:textId="77777777" w:rsidR="00315C6D" w:rsidRDefault="00315C6D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451A05">
      <w:rPr>
        <w:noProof/>
      </w:rPr>
      <w:t>5</w:t>
    </w:r>
    <w:r>
      <w:fldChar w:fldCharType="end"/>
    </w:r>
  </w:p>
  <w:p w14:paraId="28986C66" w14:textId="77777777" w:rsidR="00315C6D" w:rsidRDefault="00315C6D" w:rsidP="00315C6D">
    <w:pPr>
      <w:pBdr>
        <w:top w:val="single" w:sz="4" w:space="1" w:color="auto"/>
      </w:pBdr>
      <w:tabs>
        <w:tab w:val="center" w:pos="4677"/>
        <w:tab w:val="right" w:pos="9355"/>
      </w:tabs>
      <w:spacing w:after="0" w:line="240" w:lineRule="auto"/>
      <w:ind w:right="360" w:firstLine="709"/>
      <w:jc w:val="both"/>
      <w:rPr>
        <w:rFonts w:ascii="Times New Roman" w:hAnsi="Times New Roman" w:cs="Times New Roman"/>
        <w:i/>
        <w:sz w:val="20"/>
        <w:szCs w:val="20"/>
        <w:lang w:val="uz-Cyrl-UZ"/>
      </w:rPr>
    </w:pPr>
    <w:r>
      <w:rPr>
        <w:rFonts w:ascii="Times New Roman" w:hAnsi="Times New Roman" w:cs="Times New Roman"/>
        <w:i/>
        <w:sz w:val="20"/>
        <w:szCs w:val="20"/>
        <w:lang w:val="uz-Cyrl-UZ"/>
      </w:rPr>
      <w:t xml:space="preserve">Положение </w:t>
    </w:r>
    <w:r>
      <w:rPr>
        <w:rFonts w:ascii="Times New Roman" w:hAnsi="Times New Roman" w:cs="Times New Roman"/>
        <w:i/>
        <w:sz w:val="20"/>
        <w:szCs w:val="20"/>
      </w:rPr>
      <w:t>«</w:t>
    </w:r>
    <w:r>
      <w:rPr>
        <w:rFonts w:ascii="Times New Roman" w:hAnsi="Times New Roman" w:cs="Times New Roman"/>
        <w:i/>
        <w:sz w:val="20"/>
        <w:szCs w:val="20"/>
        <w:lang w:val="uz-Cyrl-UZ"/>
      </w:rPr>
      <w:t xml:space="preserve">О корпоративном консультанте </w:t>
    </w:r>
    <w:r w:rsidRPr="00315C6D">
      <w:rPr>
        <w:rFonts w:ascii="Times New Roman" w:hAnsi="Times New Roman" w:cs="Times New Roman"/>
        <w:i/>
        <w:sz w:val="20"/>
        <w:szCs w:val="20"/>
      </w:rPr>
      <w:t>НХК</w:t>
    </w:r>
    <w:r w:rsidRPr="00315C6D">
      <w:rPr>
        <w:rFonts w:ascii="Times New Roman" w:hAnsi="Times New Roman" w:cs="Times New Roman"/>
        <w:i/>
        <w:sz w:val="20"/>
        <w:szCs w:val="20"/>
        <w:lang w:val="en-US"/>
      </w:rPr>
      <w:t> </w:t>
    </w:r>
    <w:r w:rsidRPr="00315C6D">
      <w:rPr>
        <w:rFonts w:ascii="Times New Roman" w:hAnsi="Times New Roman" w:cs="Times New Roman"/>
        <w:i/>
        <w:sz w:val="20"/>
        <w:szCs w:val="20"/>
      </w:rPr>
      <w:t>«Узбекнефтегаз» - 2016 год</w:t>
    </w:r>
  </w:p>
  <w:p w14:paraId="7A835F1E" w14:textId="77777777" w:rsidR="00315C6D" w:rsidRPr="00315C6D" w:rsidRDefault="00315C6D" w:rsidP="00315C6D">
    <w:pPr>
      <w:pBdr>
        <w:top w:val="single" w:sz="4" w:space="1" w:color="auto"/>
      </w:pBdr>
      <w:tabs>
        <w:tab w:val="center" w:pos="4677"/>
        <w:tab w:val="right" w:pos="9355"/>
      </w:tabs>
      <w:spacing w:after="0" w:line="240" w:lineRule="auto"/>
      <w:ind w:right="360" w:firstLine="709"/>
      <w:jc w:val="both"/>
      <w:rPr>
        <w:lang w:val="uz-Cyrl-U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84938" w14:textId="77777777" w:rsidR="00DC0C7E" w:rsidRDefault="00DC0C7E" w:rsidP="0010058B">
      <w:pPr>
        <w:spacing w:after="0" w:line="240" w:lineRule="auto"/>
      </w:pPr>
      <w:r>
        <w:separator/>
      </w:r>
    </w:p>
  </w:footnote>
  <w:footnote w:type="continuationSeparator" w:id="0">
    <w:p w14:paraId="6B6695F2" w14:textId="77777777" w:rsidR="00DC0C7E" w:rsidRDefault="00DC0C7E" w:rsidP="00100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8210A"/>
    <w:multiLevelType w:val="multilevel"/>
    <w:tmpl w:val="61C64782"/>
    <w:lvl w:ilvl="0">
      <w:start w:val="1"/>
      <w:numFmt w:val="decimal"/>
      <w:lvlText w:val="%1."/>
      <w:lvlJc w:val="left"/>
      <w:pPr>
        <w:ind w:left="1069" w:hanging="360"/>
      </w:pPr>
      <w:rPr>
        <w:rFonts w:ascii="Arial,Bold" w:hAnsi="Arial,Bold" w:cs="Arial,Bold" w:hint="default"/>
      </w:rPr>
    </w:lvl>
    <w:lvl w:ilvl="1">
      <w:start w:val="8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78"/>
    <w:rsid w:val="000065F7"/>
    <w:rsid w:val="000521DA"/>
    <w:rsid w:val="000659E6"/>
    <w:rsid w:val="00072678"/>
    <w:rsid w:val="000744D3"/>
    <w:rsid w:val="0010058B"/>
    <w:rsid w:val="00146A67"/>
    <w:rsid w:val="00146AD2"/>
    <w:rsid w:val="00175DA9"/>
    <w:rsid w:val="0018475F"/>
    <w:rsid w:val="001B477C"/>
    <w:rsid w:val="0023767E"/>
    <w:rsid w:val="00282403"/>
    <w:rsid w:val="002D4822"/>
    <w:rsid w:val="00315C6D"/>
    <w:rsid w:val="003B5EC3"/>
    <w:rsid w:val="004358A3"/>
    <w:rsid w:val="00451A05"/>
    <w:rsid w:val="004973F6"/>
    <w:rsid w:val="004B09E9"/>
    <w:rsid w:val="004B4293"/>
    <w:rsid w:val="005200B9"/>
    <w:rsid w:val="00534E91"/>
    <w:rsid w:val="005B1137"/>
    <w:rsid w:val="0065127C"/>
    <w:rsid w:val="006651E1"/>
    <w:rsid w:val="00674A9A"/>
    <w:rsid w:val="00697F85"/>
    <w:rsid w:val="006F3BC1"/>
    <w:rsid w:val="00711D2E"/>
    <w:rsid w:val="007132E6"/>
    <w:rsid w:val="007724F7"/>
    <w:rsid w:val="007C580B"/>
    <w:rsid w:val="008C331C"/>
    <w:rsid w:val="00900482"/>
    <w:rsid w:val="00924A78"/>
    <w:rsid w:val="009670AE"/>
    <w:rsid w:val="009736D1"/>
    <w:rsid w:val="009D3A27"/>
    <w:rsid w:val="00A62F84"/>
    <w:rsid w:val="00A809C5"/>
    <w:rsid w:val="00AB0199"/>
    <w:rsid w:val="00AC2856"/>
    <w:rsid w:val="00AE58F5"/>
    <w:rsid w:val="00AE74B8"/>
    <w:rsid w:val="00B056D2"/>
    <w:rsid w:val="00B14CBE"/>
    <w:rsid w:val="00B21AB0"/>
    <w:rsid w:val="00B37298"/>
    <w:rsid w:val="00B441BB"/>
    <w:rsid w:val="00B935CC"/>
    <w:rsid w:val="00C11EA2"/>
    <w:rsid w:val="00C47E3E"/>
    <w:rsid w:val="00CB37DD"/>
    <w:rsid w:val="00CF5F5D"/>
    <w:rsid w:val="00D07423"/>
    <w:rsid w:val="00D30598"/>
    <w:rsid w:val="00D5144D"/>
    <w:rsid w:val="00DA0F19"/>
    <w:rsid w:val="00DC0906"/>
    <w:rsid w:val="00DC0C7E"/>
    <w:rsid w:val="00DD5256"/>
    <w:rsid w:val="00E35736"/>
    <w:rsid w:val="00E43D10"/>
    <w:rsid w:val="00E91471"/>
    <w:rsid w:val="00EC5306"/>
    <w:rsid w:val="00F2535F"/>
    <w:rsid w:val="00FB764D"/>
    <w:rsid w:val="00FD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499F03"/>
  <w15:docId w15:val="{C9D0EABE-321B-484A-9FE5-4907E687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2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24A78"/>
    <w:pPr>
      <w:ind w:left="720"/>
    </w:pPr>
  </w:style>
  <w:style w:type="paragraph" w:styleId="a4">
    <w:name w:val="header"/>
    <w:basedOn w:val="a"/>
    <w:link w:val="a5"/>
    <w:uiPriority w:val="99"/>
    <w:semiHidden/>
    <w:rsid w:val="00100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10058B"/>
  </w:style>
  <w:style w:type="paragraph" w:styleId="a6">
    <w:name w:val="footer"/>
    <w:basedOn w:val="a"/>
    <w:link w:val="a7"/>
    <w:uiPriority w:val="99"/>
    <w:rsid w:val="00100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10058B"/>
  </w:style>
  <w:style w:type="paragraph" w:styleId="a8">
    <w:name w:val="Balloon Text"/>
    <w:basedOn w:val="a"/>
    <w:link w:val="a9"/>
    <w:uiPriority w:val="99"/>
    <w:semiHidden/>
    <w:rsid w:val="0010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10058B"/>
    <w:rPr>
      <w:rFonts w:ascii="Tahoma" w:hAnsi="Tahoma" w:cs="Tahoma"/>
      <w:sz w:val="16"/>
      <w:szCs w:val="16"/>
    </w:rPr>
  </w:style>
  <w:style w:type="character" w:styleId="aa">
    <w:name w:val="Hyperlink"/>
    <w:uiPriority w:val="99"/>
    <w:rsid w:val="00CB37DD"/>
    <w:rPr>
      <w:color w:val="0000FF"/>
      <w:u w:val="single"/>
    </w:rPr>
  </w:style>
  <w:style w:type="paragraph" w:styleId="ab">
    <w:name w:val="annotation text"/>
    <w:basedOn w:val="a"/>
    <w:link w:val="ac"/>
    <w:uiPriority w:val="99"/>
    <w:semiHidden/>
    <w:rsid w:val="00520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link w:val="ab"/>
    <w:uiPriority w:val="99"/>
    <w:semiHidden/>
    <w:locked/>
    <w:rsid w:val="005200B9"/>
    <w:rPr>
      <w:rFonts w:ascii="Times New Roman" w:hAnsi="Times New Roman" w:cs="Times New Roman"/>
      <w:sz w:val="20"/>
      <w:szCs w:val="20"/>
      <w:lang w:eastAsia="ru-RU"/>
    </w:rPr>
  </w:style>
  <w:style w:type="character" w:styleId="ad">
    <w:name w:val="annotation reference"/>
    <w:uiPriority w:val="99"/>
    <w:semiHidden/>
    <w:rsid w:val="005200B9"/>
    <w:rPr>
      <w:sz w:val="16"/>
      <w:szCs w:val="16"/>
    </w:rPr>
  </w:style>
  <w:style w:type="paragraph" w:styleId="ae">
    <w:name w:val="Plain Text"/>
    <w:basedOn w:val="a"/>
    <w:link w:val="af"/>
    <w:uiPriority w:val="99"/>
    <w:rsid w:val="000744D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link w:val="ae"/>
    <w:uiPriority w:val="99"/>
    <w:locked/>
    <w:rsid w:val="000744D3"/>
    <w:rPr>
      <w:rFonts w:ascii="Courier New" w:hAnsi="Courier New" w:cs="Courier New"/>
      <w:sz w:val="20"/>
      <w:szCs w:val="20"/>
      <w:lang w:eastAsia="ru-RU"/>
    </w:rPr>
  </w:style>
  <w:style w:type="paragraph" w:customStyle="1" w:styleId="af0">
    <w:name w:val="Знак"/>
    <w:basedOn w:val="a"/>
    <w:uiPriority w:val="99"/>
    <w:rsid w:val="00E91471"/>
    <w:pPr>
      <w:spacing w:after="160" w:line="240" w:lineRule="exact"/>
    </w:pPr>
    <w:rPr>
      <w:rFonts w:ascii="Tahoma" w:hAnsi="Tahoma" w:cs="Tahom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2</cp:revision>
  <cp:lastPrinted>2016-11-30T16:39:00Z</cp:lastPrinted>
  <dcterms:created xsi:type="dcterms:W3CDTF">2020-08-19T05:16:00Z</dcterms:created>
  <dcterms:modified xsi:type="dcterms:W3CDTF">2020-08-19T05:16:00Z</dcterms:modified>
</cp:coreProperties>
</file>