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&lt;https://fsf.org/&gt;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&lt;https://www.gnu.org/licenses/&gt;.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(C) &lt;year&gt;  &lt;name of author&gt;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&lt;https://www.gnu.org/licenses/&gt;.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&lt;https://www.gnu.org/licenses/why-not-lgpl.html&gt;.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