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Twenty-Three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wordpressdotorg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6.1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6.6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PHP: 5.6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Twenty-Three is designed to take advantage of the new design tools introduced in WordPress 6.1. With a clean, blank base as a starting point, this default theme includes ten diverse style variations created by members of the WordPress community.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want to build a complex or incredibly simple website, you can do it quickly and intuitively through the bundled styles or dive into creation and full customization yourself.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July 16, 2024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https://wordpress.org/documentation/article/twenty-twenty-three-changelog/#Version_1.5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2, 2024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https://wordpress.org/documentation/article/twenty-twenty-three-changelog/#Version_1.4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November 7, 2023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https://wordpress.org/documentation/article/twenty-twenty-three-changelog/#Version_1.3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8, 2023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https://wordpress.org/documentation/article/twenty-twenty-three-changelog/#Version_1.2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28, 2023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https://wordpress.org/documentation/article/twenty-twenty-three-changelog/#Version_1.1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November 1, 2022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https://wordpress.org/documentation/article/twenty-twenty-three-changelog/#Version_1.0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Twenty-Three WordPress Theme, (C) 2022-2024 WordPress.org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Twenty-Three is distributed under the terms of the GNU GPL.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theme bundles the following third-party resources: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 Sans Font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2014-2017 Indian Type Foundry (info@indiantypefoundry.com)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2019 Google LLC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2014-2018 Adobe (http://www.adobe.com/)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SIL Open Font License, 1.1, https://opensource.org/licenses/OFL-1.1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https://github.com/googlefonts/dm-fonts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Plex Font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2017 IBM Corp.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SIL Open Font License, 1.1, https://opensource.org/licenses/OFL-1.1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https://github.com/IBM/plex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 Font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2016-2020 The Inter Project Authors.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SIL Open Font License, 1.1, https://opensource.org/licenses/OFL-1.1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https://github.com/rsms/inter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Serif Font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2014-2021 Adobe (http://www.adobe.com/)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SIL Open Font License, 1.1, https://opensource.org/licenses/OFL-1.1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https://github.com/adobe-fonts/source-serif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