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</w:rPr>
      </w:pPr>
      <w:r>
        <w:rPr>
          <w:b/>
        </w:rPr>
        <w:t>ÖĞRENCİ NO:</w:t>
      </w:r>
    </w:p>
    <w:p>
      <w:pPr>
        <w:pStyle w:val="style0"/>
        <w:jc w:val="both"/>
        <w:rPr>
          <w:b/>
        </w:rPr>
      </w:pPr>
      <w:r>
        <w:rPr>
          <w:b/>
        </w:rPr>
        <w:t>ADINIZ SOYADINIZ: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Bayan T.T. 31 yaşında evli bir kadındır. Lise mezunudur. 3 yıldır evlidir. </w:t>
      </w:r>
      <w:r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>
        <w:t xml:space="preserve">hasta </w:t>
      </w:r>
      <w:r>
        <w:t xml:space="preserve">kadın doğum uzmanına gitmiştir. </w:t>
      </w:r>
      <w:r>
        <w:t>Kadın doğum uzmanının yönlendirdiği endokrinoloji hekiminden aldığı reçete ile eczanenize gelmiştir.</w:t>
      </w:r>
    </w:p>
    <w:p>
      <w:pPr>
        <w:pStyle w:val="style0"/>
        <w:rPr/>
      </w:pPr>
    </w:p>
    <w:p>
      <w:pPr>
        <w:pStyle w:val="style0"/>
        <w:rPr/>
      </w:pPr>
      <w:r>
        <w:t>Hasta Adı Soyadı: T.T.</w:t>
      </w:r>
    </w:p>
    <w:p>
      <w:pPr>
        <w:pStyle w:val="style0"/>
        <w:rPr/>
      </w:pPr>
      <w:r>
        <w:t>Cinsiyet: Kadın</w:t>
      </w:r>
    </w:p>
    <w:p>
      <w:pPr>
        <w:pStyle w:val="style0"/>
        <w:rPr/>
      </w:pPr>
      <w:r>
        <w:t>Doğum Tarihi: 01.02.1988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Vital Değerleri</w:t>
      </w:r>
    </w:p>
    <w:p>
      <w:pPr>
        <w:pStyle w:val="style0"/>
        <w:rPr/>
      </w:pPr>
      <w:r>
        <w:t>Kan basıncı 110 / 70 mmHg</w:t>
      </w:r>
    </w:p>
    <w:p>
      <w:pPr>
        <w:pStyle w:val="style0"/>
        <w:rPr/>
      </w:pPr>
      <w:r>
        <w:t>Nabız: 68</w:t>
      </w:r>
    </w:p>
    <w:p>
      <w:pPr>
        <w:pStyle w:val="style0"/>
        <w:rPr/>
      </w:pPr>
      <w:r>
        <w:t>Vücut Sıcaklığı: 36.8</w:t>
      </w:r>
    </w:p>
    <w:p>
      <w:pPr>
        <w:pStyle w:val="style0"/>
        <w:rPr/>
      </w:pPr>
      <w:r>
        <w:t>Boy: 168 cm</w:t>
      </w:r>
    </w:p>
    <w:p>
      <w:pPr>
        <w:pStyle w:val="style0"/>
        <w:rPr/>
      </w:pPr>
      <w:r>
        <w:t>Kilo: 61 kg</w:t>
      </w:r>
    </w:p>
    <w:p>
      <w:pPr>
        <w:pStyle w:val="style0"/>
        <w:rPr>
          <w:b/>
          <w:bCs/>
        </w:rPr>
      </w:pPr>
      <w:r>
        <w:rPr>
          <w:b/>
          <w:bCs/>
        </w:rPr>
        <w:t>Laboratuvar Değerleri</w:t>
      </w:r>
    </w:p>
    <w:tbl>
      <w:tblPr>
        <w:tblStyle w:val="style15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>
        <w:trPr/>
        <w:tc>
          <w:tcPr>
            <w:tcW w:w="2265" w:type="dxa"/>
            <w:tcBorders/>
          </w:tcPr>
          <w:p>
            <w:pPr>
              <w:pStyle w:val="style0"/>
              <w:rPr/>
            </w:pPr>
            <w:r>
              <w:t>Na</w:t>
            </w:r>
            <w:r>
              <w:t xml:space="preserve">      </w:t>
            </w:r>
            <w:r>
              <w:t>138 mEq/L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Ca</w:t>
            </w:r>
            <w:r>
              <w:t xml:space="preserve">     </w:t>
            </w:r>
            <w:r>
              <w:t>9.6 mg/dL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  <w:r>
              <w:t>Albumin</w:t>
            </w:r>
            <w:r>
              <w:t xml:space="preserve"> 4 g/dL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Anti-TPO </w:t>
            </w:r>
            <w:r>
              <w:rPr>
                <w:b/>
                <w:bCs/>
              </w:rPr>
              <w:t>anti</w:t>
            </w:r>
            <w:r>
              <w:rPr>
                <w:b/>
                <w:bCs/>
              </w:rPr>
              <w:t>kor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+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  <w:r>
              <w:t>K</w:t>
            </w:r>
            <w:r>
              <w:t xml:space="preserve">         4</w:t>
            </w:r>
            <w:r>
              <w:t>.2 mEq/L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Mg</w:t>
            </w:r>
            <w:r>
              <w:t xml:space="preserve">    </w:t>
            </w:r>
            <w:r>
              <w:t>2.0 mEq/dL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  <w:r>
              <w:t>WBC 6.8x10</w:t>
            </w:r>
            <w:r>
              <w:rPr>
                <w:vertAlign w:val="superscript"/>
              </w:rPr>
              <w:t>3</w:t>
            </w:r>
            <w:r>
              <w:t>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="Calibri"/>
                <w:b/>
                <w:bCs/>
              </w:rPr>
              <w:t>↑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  <w:r>
              <w:t>Cl</w:t>
            </w:r>
            <w:r>
              <w:t xml:space="preserve">        </w:t>
            </w:r>
            <w:r>
              <w:t>98 mEq/L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AST</w:t>
            </w:r>
            <w:r>
              <w:t xml:space="preserve">   </w:t>
            </w:r>
            <w:r>
              <w:t>22 U/L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  <w:r>
              <w:t>Hgb    13.1 g/dL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/>
            </w:pPr>
            <w:r>
              <w:t>sT</w:t>
            </w:r>
            <w:r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  <w:r>
              <w:t>BUN</w:t>
            </w:r>
            <w:r>
              <w:t xml:space="preserve">    </w:t>
            </w:r>
            <w:r>
              <w:t>8 mg/dL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ALT</w:t>
            </w:r>
            <w:r>
              <w:t xml:space="preserve">    </w:t>
            </w:r>
            <w:r>
              <w:t>19 U/L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  <w:r>
              <w:t>Hct     39.2%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  <w:r>
              <w:t>A.K.Ş.</w:t>
            </w:r>
            <w:r>
              <w:t xml:space="preserve">  </w:t>
            </w:r>
            <w:r>
              <w:t>92 mg/dL</w:t>
            </w: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Alkalen fos.</w:t>
            </w:r>
            <w:r>
              <w:t xml:space="preserve">   </w:t>
            </w:r>
            <w:r>
              <w:t>54 U/L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  <w:r>
              <w:t>MCV 89 mm</w:t>
            </w:r>
            <w:r>
              <w:rPr>
                <w:vertAlign w:val="superscript"/>
              </w:rPr>
              <w:t>3</w:t>
            </w: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Total Kolesterol 212 mg/dL</w:t>
            </w:r>
            <w:r>
              <w:rPr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</w:rPr>
              <w:t>↑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  <w:r>
              <w:t>T. Bilirubin</w:t>
            </w:r>
            <w:r>
              <w:t xml:space="preserve">    </w:t>
            </w:r>
            <w:r>
              <w:t>0.4 mg/dL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</w:p>
        </w:tc>
        <w:tc>
          <w:tcPr>
            <w:tcW w:w="226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LDL    142 g/dL</w:t>
            </w:r>
            <w:r>
              <w:rPr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</w:rPr>
              <w:t>↑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</w:p>
        </w:tc>
        <w:tc>
          <w:tcPr>
            <w:tcW w:w="2266" w:type="dxa"/>
            <w:tcBorders/>
          </w:tcPr>
          <w:p>
            <w:pPr>
              <w:pStyle w:val="style0"/>
              <w:rPr/>
            </w:pPr>
            <w:r>
              <w:t>HDL    4</w:t>
            </w:r>
            <w:r>
              <w:t>6</w:t>
            </w:r>
            <w:r>
              <w:t xml:space="preserve"> mg/dL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</w:p>
        </w:tc>
        <w:tc>
          <w:tcPr>
            <w:tcW w:w="2266" w:type="dxa"/>
            <w:tcBorders/>
          </w:tcPr>
          <w:p>
            <w:pPr>
              <w:pStyle w:val="style0"/>
              <w:rPr/>
            </w:pPr>
            <w:r>
              <w:t>TG      125 mg/dL</w:t>
            </w:r>
          </w:p>
        </w:tc>
      </w:tr>
      <w:tr>
        <w:tblPrEx/>
        <w:trPr/>
        <w:tc>
          <w:tcPr>
            <w:tcW w:w="2265" w:type="dxa"/>
            <w:tcBorders/>
          </w:tcPr>
          <w:p>
            <w:pPr>
              <w:pStyle w:val="style0"/>
              <w:rPr/>
            </w:pPr>
          </w:p>
        </w:tc>
        <w:tc>
          <w:tcPr>
            <w:tcW w:w="2692" w:type="dxa"/>
            <w:tcBorders/>
          </w:tcPr>
          <w:p>
            <w:pPr>
              <w:pStyle w:val="style0"/>
              <w:rPr/>
            </w:pPr>
          </w:p>
        </w:tc>
        <w:tc>
          <w:tcPr>
            <w:tcW w:w="2075" w:type="dxa"/>
            <w:tcBorders/>
          </w:tcPr>
          <w:p>
            <w:pPr>
              <w:pStyle w:val="style0"/>
              <w:rPr/>
            </w:pPr>
          </w:p>
        </w:tc>
        <w:tc>
          <w:tcPr>
            <w:tcW w:w="2266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Güncel </w:t>
      </w:r>
      <w:r>
        <w:rPr>
          <w:b/>
        </w:rPr>
        <w:t>Reçetesi:</w:t>
      </w:r>
    </w:p>
    <w:p>
      <w:pPr>
        <w:pStyle w:val="style0"/>
        <w:rPr/>
      </w:pPr>
      <w:r>
        <w:t>Euth</w:t>
      </w:r>
      <w:r>
        <w:t>y</w:t>
      </w:r>
      <w:r>
        <w:t>rox Tablet 50 mcg P: 1x1</w:t>
      </w:r>
    </w:p>
    <w:p>
      <w:pPr>
        <w:pStyle w:val="style0"/>
        <w:rPr/>
      </w:pPr>
      <w:r>
        <w:t xml:space="preserve">Tamol Tablet P.R.N. </w:t>
      </w:r>
    </w:p>
    <w:p>
      <w:pPr>
        <w:pStyle w:val="style0"/>
        <w:rPr/>
      </w:pPr>
      <w:r>
        <w:t>Oroferon Depo Kaplı Tablet 1x1</w:t>
      </w:r>
    </w:p>
    <w:p>
      <w:pPr>
        <w:pStyle w:val="style0"/>
        <w:rPr/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Merhaba size nasıl yardımcı olabilirim?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Merhaba, hatırlarsınız size daha önce gelmiştim</w:t>
            </w:r>
            <w:r>
              <w:t>,</w:t>
            </w:r>
            <w:r>
              <w:t xml:space="preserve"> uzman hekime gitmem yönünde tavsiyede bulunmuştunuz. Ayrıntılı </w:t>
            </w:r>
            <w:r>
              <w:t>muayene</w:t>
            </w:r>
            <w:r>
              <w:t xml:space="preserve"> sonunda beni endokrin</w:t>
            </w:r>
            <w:r>
              <w:t>oloji</w:t>
            </w:r>
            <w:r>
              <w:t xml:space="preserve"> hekimine yönlendirdi.</w:t>
            </w:r>
            <w:r>
              <w:t xml:space="preserve"> Hekim reçete yazdı ilaç kullanımı için eczacının bilgi vereceğini belirtti.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Merhaba</w:t>
            </w:r>
            <w:r>
              <w:t>, evet hatırlıyorum. İ</w:t>
            </w:r>
            <w:r>
              <w:t xml:space="preserve">nfertilite ile ilgili hekiminiz herhangi bir teşhis </w:t>
            </w:r>
            <w:r>
              <w:t xml:space="preserve">koydu </w:t>
            </w:r>
            <w:r>
              <w:t xml:space="preserve">mu? 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Hayır, endometriyozis var mı diye muayene etti herhangi bir sorun bulunmadı. Hormon değerlerim</w:t>
            </w:r>
            <w:r>
              <w:t xml:space="preserve"> </w:t>
            </w:r>
            <w:r>
              <w:t>de normaldi. Her ikimizi CYB hastalıklar yönünde</w:t>
            </w:r>
            <w:r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 xml:space="preserve">Kayıtlarıma </w:t>
            </w:r>
            <w:r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Hayır gerek görmedim. Çocuk sahibi olmayı planlıyoruz ve iş yoğunluğum çok fazla</w:t>
            </w:r>
            <w:r>
              <w:t>,</w:t>
            </w:r>
            <w:r>
              <w:t xml:space="preserve"> yorgunluğumun buna bağlı olduğunu düşünüyorum.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Bahsetmek istediğiniz başka bir şikayetiniz var mı?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Sadece son 3-4 aydır işte konsantre olmakta güçlük çekiyorum. Bu sanırım uyumakta güçlük çekmemden ve geç yatmamdan kaynaklanıyor.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Ailenizde önemli bir rahatsızlığı olan var mı?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Annemde tip-2 diyabet ve hipertansiyon var.  Benden 4 yaş büyük ablamda da Haşimato hastalığı var</w:t>
            </w:r>
            <w:r>
              <w:t>,</w:t>
            </w:r>
            <w:r>
              <w:t xml:space="preserve"> 5 yıldır ilaç kullanıyor.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 xml:space="preserve">Alkol </w:t>
            </w:r>
            <w:r>
              <w:t xml:space="preserve">veya </w:t>
            </w:r>
            <w:r>
              <w:t>sigara kullanıyor musunuz?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Sigara kullanmıyorum. Alkol nadiren kullanıyordum ama çocuk sahibi olmak istediğimizden son iki senedir hiç kullanmadım.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Reçetenizde yer alan ilaçları ne için kullandığınızı biliyor musunuz?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Evet, doktor Euth</w:t>
            </w:r>
            <w:r>
              <w:t>y</w:t>
            </w:r>
            <w:r>
              <w:t>rox’u tiroid için yazdı. Haftada 1-2 kere başım ağrıdığında Tamol kullanıyorum onu da yazmasını rica etmiştim. Bir demir hapım var</w:t>
            </w:r>
            <w:r>
              <w:t>,</w:t>
            </w:r>
            <w:r>
              <w:t xml:space="preserve"> o da evde kalmamıştı yazdırdım. 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Demir hapınızı ne kadar süredir kullanıyorsunuz?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Lise çağlarımda demir değerlerim düşüktü o zaman yazmışlardı kullanmaya devam ediyorum. Yalnız son bir senedir çok kabızlık yapıyor bende.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Reçetenizde yer alan bu ilaçlarınız haricinde başka kullandığınız reçeteli/reçetesiz ilaçlar var mı?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Evet aslında var. Çocuk sahibi olmaya hazırlanmak için kalsiyum takviyesi de olsun diye Solgar’ın Calcium Magnesium Plus Boron Tablet</w:t>
            </w:r>
            <w:r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>
              <w:t xml:space="preserve"> </w:t>
            </w:r>
            <w:r>
              <w:t>de bana bir krem önerebilir misiniz?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 xml:space="preserve">Cildinizde kuruluk haricinde kızarıklık veya kaşıntı var mı? 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Hayır, yok.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Reçetenizi hazırlamadan önce sizi kısa bir süre bekletebilir miyim?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  <w:tcBorders/>
          </w:tcPr>
          <w:p>
            <w:pPr>
              <w:pStyle w:val="style0"/>
              <w:rPr/>
            </w:pPr>
            <w:r>
              <w:t>Tabi bekliyorum.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876"/>
        <w:gridCol w:w="1996"/>
        <w:gridCol w:w="1787"/>
        <w:gridCol w:w="1731"/>
      </w:tblGrid>
      <w:tr>
        <w:trPr/>
        <w:tc>
          <w:tcPr>
            <w:tcW w:w="1786" w:type="dxa"/>
            <w:tcBorders/>
          </w:tcPr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TANIM</w:t>
            </w:r>
          </w:p>
        </w:tc>
        <w:tc>
          <w:tcPr>
            <w:tcW w:w="1828" w:type="dxa"/>
            <w:tcBorders/>
          </w:tcPr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Tedavi hedefi</w:t>
            </w:r>
          </w:p>
        </w:tc>
        <w:tc>
          <w:tcPr>
            <w:tcW w:w="1872" w:type="dxa"/>
            <w:tcBorders/>
          </w:tcPr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Detaylı</w:t>
            </w:r>
          </w:p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değerlendirme</w:t>
            </w:r>
          </w:p>
        </w:tc>
        <w:tc>
          <w:tcPr>
            <w:tcW w:w="1813" w:type="dxa"/>
            <w:tcBorders/>
          </w:tcPr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Girişim</w:t>
            </w:r>
          </w:p>
        </w:tc>
        <w:tc>
          <w:tcPr>
            <w:tcW w:w="1763" w:type="dxa"/>
            <w:tcBorders/>
          </w:tcPr>
          <w:p>
            <w:pPr>
              <w:pStyle w:val="style0"/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Takip ve İzlem</w:t>
            </w:r>
          </w:p>
        </w:tc>
      </w:tr>
      <w:tr>
        <w:tblPrEx/>
        <w:trPr>
          <w:trHeight w:val="491" w:hRule="atLeast"/>
        </w:trPr>
        <w:tc>
          <w:tcPr>
            <w:tcW w:w="178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1828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Olası ilaç etkileşimlerini engellemek</w:t>
            </w:r>
          </w:p>
        </w:tc>
        <w:tc>
          <w:tcPr>
            <w:tcW w:w="1872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İlaçların biyoyararlanımı nı </w:t>
            </w:r>
            <w:r>
              <w:rPr>
                <w:rFonts w:cs="Calibri"/>
                <w:lang w:val="en-US"/>
              </w:rPr>
              <w:t xml:space="preserve"> artırabilmek için</w:t>
            </w:r>
          </w:p>
        </w:tc>
        <w:tc>
          <w:tcPr>
            <w:tcW w:w="181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Oroferon depo kapsül ile Euthyrox </w:t>
            </w:r>
            <w:r>
              <w:rPr>
                <w:rFonts w:cs="Calibri"/>
                <w:lang w:val="en-US"/>
              </w:rPr>
              <w:t xml:space="preserve">ilacının </w:t>
            </w:r>
            <w:r>
              <w:rPr>
                <w:rFonts w:cs="Calibri"/>
                <w:lang w:val="en-US"/>
              </w:rPr>
              <w:t xml:space="preserve">kullanımı </w:t>
            </w:r>
            <w:r>
              <w:rPr>
                <w:rFonts w:cs="Calibri"/>
                <w:lang w:val="en-US"/>
              </w:rPr>
              <w:t>arasına 4 saat koymak</w:t>
            </w:r>
          </w:p>
        </w:tc>
        <w:tc>
          <w:tcPr>
            <w:tcW w:w="176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kan değerlerini düzenli takip ederek bu durumu kontrol edebiliriz</w:t>
            </w:r>
          </w:p>
        </w:tc>
      </w:tr>
      <w:tr>
        <w:tblPrEx/>
        <w:trPr>
          <w:trHeight w:val="557" w:hRule="atLeast"/>
        </w:trPr>
        <w:tc>
          <w:tcPr>
            <w:tcW w:w="178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1828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Tiroid fonksiyonlarının düzelmesi</w:t>
            </w:r>
          </w:p>
        </w:tc>
        <w:tc>
          <w:tcPr>
            <w:tcW w:w="1872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Yüksek TSH</w:t>
            </w:r>
            <w:r>
              <w:rPr>
                <w:rFonts w:cs="Calibri"/>
                <w:lang w:val="en-US"/>
              </w:rPr>
              <w:t xml:space="preserve"> değerlerinin normale dönmesi</w:t>
            </w:r>
          </w:p>
        </w:tc>
        <w:tc>
          <w:tcPr>
            <w:tcW w:w="181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Euthyro</w:t>
            </w:r>
            <w:r>
              <w:rPr>
                <w:rFonts w:cs="Calibri"/>
                <w:lang w:val="en-US"/>
              </w:rPr>
              <w:t>x her gün sabah aç karnına kullanılmalı</w:t>
            </w:r>
          </w:p>
        </w:tc>
        <w:tc>
          <w:tcPr>
            <w:tcW w:w="176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4</w:t>
            </w:r>
            <w:r>
              <w:rPr>
                <w:rFonts w:cs="Calibri"/>
                <w:lang w:val="en-US"/>
              </w:rPr>
              <w:t>-</w:t>
            </w:r>
            <w:r>
              <w:rPr>
                <w:rFonts w:cs="Calibri"/>
                <w:lang w:val="en-US"/>
              </w:rPr>
              <w:t>8 haftada bir kez daha üst düzey izlenmeli normalize olduktan sonra yılda bir kere kontrol edilebilir</w:t>
            </w:r>
          </w:p>
        </w:tc>
      </w:tr>
      <w:tr>
        <w:tblPrEx/>
        <w:trPr>
          <w:trHeight w:val="565" w:hRule="atLeast"/>
        </w:trPr>
        <w:tc>
          <w:tcPr>
            <w:tcW w:w="178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1828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Gebe kalındığında da değerlerin normal düzeylerde tutulabilmesi</w:t>
            </w:r>
          </w:p>
        </w:tc>
        <w:tc>
          <w:tcPr>
            <w:tcW w:w="1872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Gebe</w:t>
            </w:r>
            <w:r>
              <w:rPr>
                <w:rFonts w:cs="Calibri"/>
                <w:lang w:val="en-US"/>
              </w:rPr>
              <w:t xml:space="preserve"> ikende TSH </w:t>
            </w:r>
            <w:r>
              <w:rPr>
                <w:rFonts w:cs="Calibri"/>
                <w:lang w:val="en-US"/>
              </w:rPr>
              <w:t xml:space="preserve">değerlerinin </w:t>
            </w:r>
            <w:r>
              <w:rPr>
                <w:rFonts w:cs="Calibri"/>
                <w:lang w:val="en-US"/>
              </w:rPr>
              <w:t>değerlendirilmesi</w:t>
            </w:r>
          </w:p>
        </w:tc>
        <w:tc>
          <w:tcPr>
            <w:tcW w:w="181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Gebe iken</w:t>
            </w:r>
            <w:r>
              <w:rPr>
                <w:rFonts w:cs="Calibri"/>
                <w:lang w:val="en-US"/>
              </w:rPr>
              <w:t xml:space="preserve"> tahlil</w:t>
            </w:r>
            <w:r>
              <w:rPr>
                <w:rFonts w:cs="Calibri"/>
                <w:lang w:val="en-US"/>
              </w:rPr>
              <w:t xml:space="preserve"> yapılması</w:t>
            </w:r>
          </w:p>
        </w:tc>
        <w:tc>
          <w:tcPr>
            <w:tcW w:w="176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Kan TSH değerlerinin kontrol edilmesi gerekirse tekrar doz ayarlanması yapılmalı</w:t>
            </w:r>
          </w:p>
        </w:tc>
      </w:tr>
      <w:tr>
        <w:tblPrEx/>
        <w:trPr>
          <w:trHeight w:val="403" w:hRule="atLeast"/>
        </w:trPr>
        <w:tc>
          <w:tcPr>
            <w:tcW w:w="178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1828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Konstipasyonun giderilmesi</w:t>
            </w:r>
          </w:p>
        </w:tc>
        <w:tc>
          <w:tcPr>
            <w:tcW w:w="1872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Oroferon depo kapsül kullanımı sonucu olabilir</w:t>
            </w:r>
          </w:p>
        </w:tc>
        <w:tc>
          <w:tcPr>
            <w:tcW w:w="181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Doktor kontrolü sonucu </w:t>
            </w:r>
            <w:r>
              <w:rPr>
                <w:rFonts w:cs="Calibri"/>
                <w:lang w:val="en-US"/>
              </w:rPr>
              <w:t xml:space="preserve">demir ilacı </w:t>
            </w:r>
            <w:r>
              <w:rPr>
                <w:rFonts w:cs="Calibri"/>
                <w:lang w:val="en-US"/>
              </w:rPr>
              <w:t>kullanımına devam edip edilmemesine karar verilmesi</w:t>
            </w:r>
          </w:p>
        </w:tc>
        <w:tc>
          <w:tcPr>
            <w:tcW w:w="1763" w:type="dxa"/>
            <w:tcBorders/>
          </w:tcPr>
          <w:p>
            <w:pPr>
              <w:pStyle w:val="style0"/>
              <w:ind w:left="82"/>
              <w:rPr>
                <w:rFonts w:cs="Calibri"/>
              </w:rPr>
            </w:pPr>
            <w:r>
              <w:rPr>
                <w:rFonts w:cs="Calibri"/>
                <w:lang w:val="en-US"/>
              </w:rPr>
              <w:t>Tahlil sonucu</w:t>
            </w:r>
            <w:r>
              <w:rPr>
                <w:rFonts w:cs="Calibri"/>
                <w:lang w:val="en-US"/>
              </w:rPr>
              <w:t>na göre ilac</w:t>
            </w:r>
            <w:r>
              <w:rPr>
                <w:rFonts w:cs="Calibri"/>
                <w:lang w:val="en-US"/>
              </w:rPr>
              <w:t>a</w:t>
            </w:r>
            <w:r>
              <w:rPr>
                <w:rFonts w:cs="Calibri"/>
                <w:lang w:val="en-US"/>
              </w:rPr>
              <w:t xml:space="preserve"> ara verilmesi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a2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a2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a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Klinik Eczacılık – II Dersi</w:t>
    </w:r>
  </w:p>
  <w:p>
    <w:pPr>
      <w:pStyle w:val="style31"/>
      <w:rPr/>
    </w:pPr>
    <w:r>
      <w:t>Uygulama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tr-T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7">
    <w:name w:val="Üst Bilgi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Alt Bilgi Char"/>
    <w:basedOn w:val="style65"/>
    <w:next w:val="style4098"/>
    <w:link w:val="style32"/>
    <w:uiPriority w:val="99"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9"/>
    <w:uiPriority w:val="99"/>
    <w:pPr>
      <w:spacing w:lineRule="auto" w:line="240"/>
    </w:pPr>
    <w:rPr>
      <w:sz w:val="20"/>
      <w:szCs w:val="20"/>
    </w:rPr>
  </w:style>
  <w:style w:type="character" w:customStyle="1" w:styleId="style4099">
    <w:name w:val="Açıklama Metni Char"/>
    <w:basedOn w:val="style65"/>
    <w:next w:val="style4099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100"/>
    <w:uiPriority w:val="99"/>
    <w:pPr/>
    <w:rPr>
      <w:b/>
      <w:bCs/>
    </w:rPr>
  </w:style>
  <w:style w:type="character" w:customStyle="1" w:styleId="style4100">
    <w:name w:val="Açıklama Konusu Char"/>
    <w:basedOn w:val="style4099"/>
    <w:next w:val="style4100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101">
    <w:name w:val="Balon Metni Char"/>
    <w:basedOn w:val="style65"/>
    <w:next w:val="style4101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661</Words>
  <Pages>3</Pages>
  <Characters>4102</Characters>
  <Application>WPS Office</Application>
  <DocSecurity>0</DocSecurity>
  <Paragraphs>171</Paragraphs>
  <ScaleCrop>false</ScaleCrop>
  <LinksUpToDate>false</LinksUpToDate>
  <CharactersWithSpaces>4733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2021-03-24T19:13:03Z</dcterms:created>
  <dc:creator>Mehmet Arun</dc:creator>
  <lastModifiedBy>M2003J15SC</lastModifiedBy>
  <dcterms:modified xsi:type="dcterms:W3CDTF">2021-03-24T19:13:03Z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